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30E" w:rsidRDefault="00EB730E" w:rsidP="009842B2">
      <w:pPr>
        <w:spacing w:after="200"/>
        <w:ind w:right="283"/>
        <w:jc w:val="center"/>
        <w:rPr>
          <w:b/>
          <w:bCs/>
          <w:caps/>
          <w:color w:val="010000"/>
        </w:rPr>
      </w:pPr>
      <w:r w:rsidRPr="009842B2">
        <w:rPr>
          <w:b/>
          <w:bCs/>
          <w:caps/>
          <w:color w:val="010000"/>
        </w:rPr>
        <w:t>ANAYASA MAHKEMESİ KARARI</w:t>
      </w:r>
    </w:p>
    <w:p w:rsidR="009842B2" w:rsidRPr="009842B2" w:rsidRDefault="009842B2" w:rsidP="009842B2">
      <w:pPr>
        <w:spacing w:after="200"/>
        <w:ind w:right="283" w:firstLine="709"/>
        <w:jc w:val="center"/>
        <w:rPr>
          <w:b/>
          <w:bCs/>
          <w:caps/>
          <w:color w:val="010000"/>
        </w:rPr>
      </w:pPr>
    </w:p>
    <w:p w:rsidR="009842B2" w:rsidRDefault="009842B2" w:rsidP="009842B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2022/38 (Siyasi Parti Mali Denetimi)</w:t>
      </w:r>
    </w:p>
    <w:p w:rsidR="009842B2" w:rsidRDefault="009842B2" w:rsidP="009842B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2025/119</w:t>
      </w:r>
    </w:p>
    <w:p w:rsidR="009842B2" w:rsidRDefault="009842B2" w:rsidP="009842B2">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9842B2" w:rsidRDefault="009842B2" w:rsidP="009842B2">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25/3/2026-33204</w:t>
      </w:r>
    </w:p>
    <w:p w:rsidR="00753FE4" w:rsidRPr="009842B2" w:rsidRDefault="00753FE4" w:rsidP="009842B2">
      <w:pPr>
        <w:rPr>
          <w:b/>
          <w:bCs/>
          <w:color w:val="010000"/>
        </w:rPr>
      </w:pPr>
    </w:p>
    <w:p w:rsidR="00EB730E" w:rsidRPr="009842B2" w:rsidRDefault="00EB730E" w:rsidP="009842B2">
      <w:pPr>
        <w:spacing w:after="200"/>
        <w:ind w:right="283" w:firstLine="709"/>
        <w:jc w:val="both"/>
        <w:rPr>
          <w:color w:val="010000"/>
        </w:rPr>
      </w:pPr>
      <w:r w:rsidRPr="009842B2">
        <w:rPr>
          <w:b/>
          <w:bCs/>
          <w:color w:val="010000"/>
        </w:rPr>
        <w:t>I. MALİ DENETİMİN KONUSU</w:t>
      </w:r>
    </w:p>
    <w:p w:rsidR="00EB730E" w:rsidRPr="009842B2" w:rsidRDefault="00EB730E" w:rsidP="009842B2">
      <w:pPr>
        <w:spacing w:after="200"/>
        <w:ind w:right="283" w:firstLine="709"/>
        <w:jc w:val="both"/>
        <w:rPr>
          <w:color w:val="010000"/>
        </w:rPr>
      </w:pPr>
      <w:r w:rsidRPr="009842B2">
        <w:rPr>
          <w:color w:val="010000"/>
        </w:rPr>
        <w:t>Yurt Partisinin 2021 yılı kesin hesabının incelenmesidir.</w:t>
      </w:r>
    </w:p>
    <w:p w:rsidR="00EB730E" w:rsidRPr="009842B2" w:rsidRDefault="00EB730E" w:rsidP="009842B2">
      <w:pPr>
        <w:spacing w:after="200"/>
        <w:ind w:right="283" w:firstLine="709"/>
        <w:jc w:val="both"/>
        <w:rPr>
          <w:color w:val="010000"/>
        </w:rPr>
      </w:pPr>
      <w:r w:rsidRPr="009842B2">
        <w:rPr>
          <w:b/>
          <w:bCs/>
          <w:color w:val="010000"/>
        </w:rPr>
        <w:t>II. İLK İNCELEME</w:t>
      </w:r>
    </w:p>
    <w:p w:rsidR="00EB730E" w:rsidRPr="009842B2" w:rsidRDefault="00EB730E" w:rsidP="009842B2">
      <w:pPr>
        <w:spacing w:after="200"/>
        <w:ind w:right="283" w:firstLine="709"/>
        <w:jc w:val="both"/>
        <w:rPr>
          <w:color w:val="010000"/>
        </w:rPr>
      </w:pPr>
      <w:r w:rsidRPr="009842B2">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9842B2">
        <w:rPr>
          <w:color w:val="010000"/>
        </w:rPr>
        <w:t>İNCE’nin</w:t>
      </w:r>
      <w:proofErr w:type="spellEnd"/>
      <w:r w:rsidRPr="009842B2">
        <w:rPr>
          <w:color w:val="010000"/>
        </w:rPr>
        <w:t xml:space="preserve"> katılımlarıyla 9/3/2023 tarihinde yapılan ilk inceleme toplantısında;</w:t>
      </w:r>
    </w:p>
    <w:p w:rsidR="00EB730E" w:rsidRPr="009842B2" w:rsidRDefault="00EB730E" w:rsidP="009842B2">
      <w:pPr>
        <w:spacing w:after="200"/>
        <w:ind w:right="283" w:firstLine="709"/>
        <w:jc w:val="both"/>
        <w:rPr>
          <w:color w:val="010000"/>
        </w:rPr>
      </w:pPr>
      <w:r w:rsidRPr="009842B2">
        <w:rPr>
          <w:color w:val="010000"/>
        </w:rPr>
        <w:t>2. Yurt Partisinin 2021 yılı kesin hesabının incelenmesi sonucunda;</w:t>
      </w:r>
    </w:p>
    <w:p w:rsidR="00EB730E" w:rsidRPr="009842B2" w:rsidRDefault="00EB730E" w:rsidP="009842B2">
      <w:pPr>
        <w:spacing w:after="200"/>
        <w:ind w:right="283" w:firstLine="709"/>
        <w:jc w:val="both"/>
        <w:rPr>
          <w:color w:val="010000"/>
        </w:rPr>
      </w:pPr>
      <w:r w:rsidRPr="009842B2">
        <w:rPr>
          <w:color w:val="010000"/>
        </w:rPr>
        <w:t>- Dosyada eksiklik bulunmadığından işin esasının incelenmesine,</w:t>
      </w:r>
    </w:p>
    <w:p w:rsidR="00EB730E" w:rsidRPr="009842B2" w:rsidRDefault="00EB730E" w:rsidP="009842B2">
      <w:pPr>
        <w:spacing w:after="200"/>
        <w:ind w:right="283" w:firstLine="709"/>
        <w:jc w:val="both"/>
        <w:rPr>
          <w:color w:val="010000"/>
        </w:rPr>
      </w:pPr>
      <w:r w:rsidRPr="009842B2">
        <w:rPr>
          <w:color w:val="010000"/>
        </w:rPr>
        <w:t>- Esas incelemenin yapılması için Genel Merkez kesin hesabının dayanağını oluşturan gelir-gider belgeleri ile bu belgelerin kaydedildiği defterleri Sayıştay Başkanlığına göndermesi için Partiye bu kararın tebliğinden itibaren otuz gün süre verilmesine,</w:t>
      </w:r>
    </w:p>
    <w:p w:rsidR="00EB730E" w:rsidRPr="009842B2" w:rsidRDefault="00EB730E" w:rsidP="009842B2">
      <w:pPr>
        <w:spacing w:after="200"/>
        <w:ind w:right="283" w:firstLine="709"/>
        <w:jc w:val="both"/>
        <w:rPr>
          <w:color w:val="010000"/>
        </w:rPr>
      </w:pPr>
      <w:r w:rsidRPr="009842B2">
        <w:rPr>
          <w:color w:val="010000"/>
        </w:rPr>
        <w:t>OYBİRLİĞİYLE karar verilmiştir.</w:t>
      </w:r>
    </w:p>
    <w:p w:rsidR="00EB730E" w:rsidRPr="009842B2" w:rsidRDefault="00EB730E" w:rsidP="009842B2">
      <w:pPr>
        <w:spacing w:after="200"/>
        <w:ind w:right="283" w:firstLine="709"/>
        <w:jc w:val="both"/>
        <w:rPr>
          <w:color w:val="010000"/>
        </w:rPr>
      </w:pPr>
      <w:r w:rsidRPr="009842B2">
        <w:rPr>
          <w:b/>
          <w:bCs/>
          <w:color w:val="010000"/>
        </w:rPr>
        <w:t>III. ESASIN İNCELENMESİ</w:t>
      </w:r>
    </w:p>
    <w:p w:rsidR="00EB730E" w:rsidRPr="009842B2" w:rsidRDefault="00EB730E" w:rsidP="009842B2">
      <w:pPr>
        <w:spacing w:after="200"/>
        <w:ind w:right="283" w:firstLine="709"/>
        <w:jc w:val="both"/>
        <w:rPr>
          <w:color w:val="010000"/>
        </w:rPr>
      </w:pPr>
      <w:r w:rsidRPr="009842B2">
        <w:rPr>
          <w:color w:val="010000"/>
        </w:rPr>
        <w:t>3. Yurt Partisinin Anayasa Mahkemesine verdiği 2021 yılı kesin hesap çizelgeleri ile dayanağını oluşturan defter ve belgeler üzerinde yapılan inceleme sonuçlarını içeren ve Sayıştay Başkanlığı tarafından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B730E" w:rsidRPr="009842B2" w:rsidRDefault="00EB730E" w:rsidP="009842B2">
      <w:pPr>
        <w:spacing w:after="200"/>
        <w:ind w:right="283" w:firstLine="709"/>
        <w:jc w:val="both"/>
        <w:rPr>
          <w:color w:val="010000"/>
        </w:rPr>
      </w:pPr>
      <w:r w:rsidRPr="009842B2">
        <w:rPr>
          <w:color w:val="010000"/>
        </w:rPr>
        <w:t>4. Denetimin maddi ögelerini oluşturan defter ve belgelerde Partinin 2021 yılı gelirleri toplamının 54.050 TL, geçen yıldan devreden nakit toplamının 1.785,18 TL; giderleri toplamının 47.498,55 TL, gelecek yıla devreden nakit toplamının 8.336,63 TL olduğu anlaşılmıştır.</w:t>
      </w:r>
    </w:p>
    <w:p w:rsidR="00323DA2" w:rsidRPr="009842B2" w:rsidRDefault="00323DA2" w:rsidP="009842B2">
      <w:pPr>
        <w:spacing w:after="200"/>
        <w:ind w:right="283" w:firstLine="709"/>
        <w:jc w:val="both"/>
        <w:rPr>
          <w:color w:val="010000"/>
        </w:rPr>
      </w:pPr>
      <w:r w:rsidRPr="009842B2">
        <w:rPr>
          <w:color w:val="010000"/>
        </w:rPr>
        <w:t>5. Partinin 202</w:t>
      </w:r>
      <w:r w:rsidR="00A649D4" w:rsidRPr="009842B2">
        <w:rPr>
          <w:color w:val="010000"/>
        </w:rPr>
        <w:t>1</w:t>
      </w:r>
      <w:r w:rsidRPr="009842B2">
        <w:rPr>
          <w:color w:val="010000"/>
        </w:rPr>
        <w:t xml:space="preserve"> yılı kesin hesabının gelir ve gider tutarları doğru ve denk olup söz konusu tutarların 2820 sayılı Kanun’a uygunluğu incelenmiştir.</w:t>
      </w:r>
    </w:p>
    <w:p w:rsidR="00EB730E" w:rsidRPr="009842B2" w:rsidRDefault="00EB730E" w:rsidP="009842B2">
      <w:pPr>
        <w:spacing w:after="200"/>
        <w:ind w:right="283" w:firstLine="709"/>
        <w:jc w:val="both"/>
        <w:rPr>
          <w:color w:val="010000"/>
        </w:rPr>
      </w:pPr>
      <w:r w:rsidRPr="009842B2">
        <w:rPr>
          <w:b/>
          <w:bCs/>
          <w:color w:val="010000"/>
        </w:rPr>
        <w:t>A.</w:t>
      </w:r>
      <w:r w:rsidRPr="009842B2">
        <w:rPr>
          <w:color w:val="010000"/>
        </w:rPr>
        <w:t xml:space="preserve"> </w:t>
      </w:r>
      <w:r w:rsidRPr="009842B2">
        <w:rPr>
          <w:b/>
          <w:bCs/>
          <w:color w:val="010000"/>
        </w:rPr>
        <w:t>Gelirlerin İncelenmesi</w:t>
      </w:r>
    </w:p>
    <w:p w:rsidR="00EB730E" w:rsidRPr="009842B2" w:rsidRDefault="00EB730E" w:rsidP="009842B2">
      <w:pPr>
        <w:spacing w:after="200"/>
        <w:ind w:right="283" w:firstLine="709"/>
        <w:jc w:val="both"/>
        <w:rPr>
          <w:color w:val="010000"/>
        </w:rPr>
      </w:pPr>
      <w:r w:rsidRPr="009842B2">
        <w:rPr>
          <w:b/>
          <w:bCs/>
          <w:color w:val="010000"/>
        </w:rPr>
        <w:t>1. Genel Merkez Gelirleri</w:t>
      </w:r>
    </w:p>
    <w:p w:rsidR="00EB730E" w:rsidRPr="009842B2" w:rsidRDefault="00323DA2" w:rsidP="009842B2">
      <w:pPr>
        <w:spacing w:after="200"/>
        <w:ind w:right="283" w:firstLine="709"/>
        <w:jc w:val="both"/>
        <w:rPr>
          <w:color w:val="010000"/>
        </w:rPr>
      </w:pPr>
      <w:r w:rsidRPr="009842B2">
        <w:rPr>
          <w:color w:val="010000"/>
        </w:rPr>
        <w:t>6</w:t>
      </w:r>
      <w:r w:rsidR="00EB730E" w:rsidRPr="009842B2">
        <w:rPr>
          <w:color w:val="010000"/>
        </w:rPr>
        <w:t>. Partinin Genel Merkez gelirleri toplamı 52.950 TL olup bu tutarın tamamı bağışlardan oluşmaktadır. Parti Genel Merkezinin önceki yıldan devreden nakit toplamının 1.785,18 TL olduğu anlaşılmıştır.</w:t>
      </w:r>
    </w:p>
    <w:p w:rsidR="00EB730E" w:rsidRPr="009842B2" w:rsidRDefault="00323DA2" w:rsidP="009842B2">
      <w:pPr>
        <w:spacing w:after="200"/>
        <w:ind w:right="283" w:firstLine="709"/>
        <w:jc w:val="both"/>
        <w:rPr>
          <w:color w:val="010000"/>
        </w:rPr>
      </w:pPr>
      <w:r w:rsidRPr="009842B2">
        <w:rPr>
          <w:color w:val="010000"/>
          <w:szCs w:val="26"/>
        </w:rPr>
        <w:lastRenderedPageBreak/>
        <w:t>7</w:t>
      </w:r>
      <w:r w:rsidR="00EB730E" w:rsidRPr="009842B2">
        <w:rPr>
          <w:color w:val="010000"/>
          <w:szCs w:val="26"/>
        </w:rPr>
        <w:t>.</w:t>
      </w:r>
      <w:r w:rsidR="00EB730E" w:rsidRPr="009842B2">
        <w:rPr>
          <w:color w:val="010000"/>
        </w:rPr>
        <w:t xml:space="preserve"> Parti Genel Merkez kesin hesabının dayanağını oluşturan gelir belgeleri ile bu belgelerin kaydedildiği defterler ile 2021 yılına ait banka hesap özetinin incelenmesi neticesinde aşağıda belirtilenler dışında kalan gelirlerin 2820 sayılı Kanun’a uygun olarak sağlandığı sonucuna varılmıştır.</w:t>
      </w:r>
    </w:p>
    <w:p w:rsidR="00EB730E" w:rsidRPr="009842B2" w:rsidRDefault="00323DA2" w:rsidP="009842B2">
      <w:pPr>
        <w:spacing w:after="200"/>
        <w:ind w:right="283" w:firstLine="709"/>
        <w:jc w:val="both"/>
        <w:rPr>
          <w:color w:val="010000"/>
        </w:rPr>
      </w:pPr>
      <w:r w:rsidRPr="009842B2">
        <w:rPr>
          <w:color w:val="010000"/>
        </w:rPr>
        <w:t>8</w:t>
      </w:r>
      <w:r w:rsidR="00EB730E" w:rsidRPr="009842B2">
        <w:rPr>
          <w:color w:val="010000"/>
        </w:rPr>
        <w:t>. İşletme defteri ile banka hesap özetinde yer alan ve aşağıdaki tabloda ayrıntıları verilen iki adet bağış kaydında bağış yapan kişi ya da kurum adına herhangi bir kimlik bilgisine yer verilmemiştir.</w:t>
      </w:r>
    </w:p>
    <w:p w:rsidR="00EB730E" w:rsidRPr="009842B2" w:rsidRDefault="00EB730E" w:rsidP="009842B2">
      <w:pPr>
        <w:spacing w:after="200"/>
        <w:ind w:right="283" w:firstLine="709"/>
        <w:jc w:val="both"/>
        <w:rPr>
          <w:b/>
          <w:bCs/>
          <w:color w:val="010000"/>
          <w:szCs w:val="22"/>
        </w:rPr>
      </w:pPr>
      <w:r w:rsidRPr="009842B2">
        <w:rPr>
          <w:b/>
          <w:bCs/>
          <w:color w:val="010000"/>
          <w:szCs w:val="22"/>
        </w:rPr>
        <w:t>Açıklaması Yer Almayan Bağış Gelirleri Kayıtları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838"/>
        <w:gridCol w:w="4109"/>
        <w:gridCol w:w="1663"/>
      </w:tblGrid>
      <w:tr w:rsidR="00EB730E" w:rsidRPr="009842B2" w:rsidTr="009842B2">
        <w:trPr>
          <w:trHeight w:val="220"/>
          <w:jc w:val="center"/>
        </w:trPr>
        <w:tc>
          <w:tcPr>
            <w:tcW w:w="1105" w:type="pct"/>
            <w:shd w:val="clear" w:color="auto" w:fill="auto"/>
            <w:vAlign w:val="center"/>
          </w:tcPr>
          <w:p w:rsidR="00EB730E" w:rsidRPr="009842B2" w:rsidRDefault="00EB730E" w:rsidP="009842B2">
            <w:pPr>
              <w:spacing w:after="120"/>
              <w:jc w:val="center"/>
              <w:rPr>
                <w:rFonts w:eastAsia="Calibri"/>
                <w:b/>
                <w:bCs/>
                <w:color w:val="010000"/>
                <w:szCs w:val="22"/>
              </w:rPr>
            </w:pPr>
          </w:p>
        </w:tc>
        <w:tc>
          <w:tcPr>
            <w:tcW w:w="940"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İşletme Defteri Açıklama</w:t>
            </w:r>
          </w:p>
        </w:tc>
        <w:tc>
          <w:tcPr>
            <w:tcW w:w="2103"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Banka Hesap Özeti Açıklama</w:t>
            </w:r>
          </w:p>
        </w:tc>
        <w:tc>
          <w:tcPr>
            <w:tcW w:w="851"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 xml:space="preserve">İşlem Tutarı </w:t>
            </w:r>
          </w:p>
        </w:tc>
      </w:tr>
      <w:tr w:rsidR="00EB730E" w:rsidRPr="009842B2" w:rsidTr="009842B2">
        <w:trPr>
          <w:jc w:val="center"/>
        </w:trPr>
        <w:tc>
          <w:tcPr>
            <w:tcW w:w="1105"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26/7/2021</w:t>
            </w:r>
          </w:p>
        </w:tc>
        <w:tc>
          <w:tcPr>
            <w:tcW w:w="940" w:type="pct"/>
            <w:shd w:val="clear" w:color="auto" w:fill="auto"/>
            <w:vAlign w:val="center"/>
          </w:tcPr>
          <w:p w:rsidR="00EB730E" w:rsidRPr="009842B2" w:rsidRDefault="00EB730E" w:rsidP="009842B2">
            <w:pPr>
              <w:spacing w:after="120"/>
              <w:rPr>
                <w:rFonts w:eastAsia="Calibri"/>
                <w:color w:val="010000"/>
                <w:szCs w:val="22"/>
              </w:rPr>
            </w:pPr>
            <w:r w:rsidRPr="009842B2">
              <w:rPr>
                <w:rFonts w:eastAsia="Calibri"/>
                <w:color w:val="010000"/>
                <w:szCs w:val="22"/>
              </w:rPr>
              <w:t>Bağış</w:t>
            </w:r>
          </w:p>
        </w:tc>
        <w:tc>
          <w:tcPr>
            <w:tcW w:w="2103" w:type="pct"/>
            <w:shd w:val="clear" w:color="auto" w:fill="auto"/>
            <w:vAlign w:val="center"/>
          </w:tcPr>
          <w:p w:rsidR="00EB730E" w:rsidRPr="009842B2" w:rsidRDefault="00EB730E" w:rsidP="009842B2">
            <w:pPr>
              <w:spacing w:after="120"/>
              <w:rPr>
                <w:rFonts w:eastAsia="Calibri"/>
                <w:color w:val="010000"/>
                <w:szCs w:val="22"/>
              </w:rPr>
            </w:pPr>
            <w:r w:rsidRPr="009842B2">
              <w:rPr>
                <w:rFonts w:eastAsia="Calibri"/>
                <w:color w:val="010000"/>
                <w:szCs w:val="22"/>
              </w:rPr>
              <w:t>Ödeme</w:t>
            </w:r>
          </w:p>
        </w:tc>
        <w:tc>
          <w:tcPr>
            <w:tcW w:w="851"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2.000 TL</w:t>
            </w:r>
          </w:p>
        </w:tc>
      </w:tr>
      <w:tr w:rsidR="00EB730E" w:rsidRPr="009842B2" w:rsidTr="009842B2">
        <w:trPr>
          <w:jc w:val="center"/>
        </w:trPr>
        <w:tc>
          <w:tcPr>
            <w:tcW w:w="1105"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13/10/2021</w:t>
            </w:r>
          </w:p>
        </w:tc>
        <w:tc>
          <w:tcPr>
            <w:tcW w:w="940" w:type="pct"/>
            <w:shd w:val="clear" w:color="auto" w:fill="auto"/>
            <w:vAlign w:val="center"/>
          </w:tcPr>
          <w:p w:rsidR="00EB730E" w:rsidRPr="009842B2" w:rsidRDefault="00EB730E" w:rsidP="009842B2">
            <w:pPr>
              <w:spacing w:after="120"/>
              <w:rPr>
                <w:rFonts w:eastAsia="Calibri"/>
                <w:color w:val="010000"/>
                <w:szCs w:val="22"/>
              </w:rPr>
            </w:pPr>
            <w:r w:rsidRPr="009842B2">
              <w:rPr>
                <w:rFonts w:eastAsia="Calibri"/>
                <w:color w:val="010000"/>
                <w:szCs w:val="22"/>
              </w:rPr>
              <w:t>Bağış</w:t>
            </w:r>
          </w:p>
        </w:tc>
        <w:tc>
          <w:tcPr>
            <w:tcW w:w="2103" w:type="pct"/>
            <w:shd w:val="clear" w:color="auto" w:fill="auto"/>
            <w:vAlign w:val="center"/>
          </w:tcPr>
          <w:p w:rsidR="00EB730E" w:rsidRPr="009842B2" w:rsidRDefault="00EB730E" w:rsidP="009842B2">
            <w:pPr>
              <w:spacing w:after="120"/>
              <w:rPr>
                <w:rFonts w:eastAsia="Calibri"/>
                <w:color w:val="010000"/>
                <w:szCs w:val="22"/>
              </w:rPr>
            </w:pPr>
            <w:r w:rsidRPr="009842B2">
              <w:rPr>
                <w:rFonts w:eastAsia="Calibri"/>
                <w:color w:val="010000"/>
                <w:szCs w:val="22"/>
              </w:rPr>
              <w:t>TR150001200985800001069143</w:t>
            </w:r>
          </w:p>
        </w:tc>
        <w:tc>
          <w:tcPr>
            <w:tcW w:w="851"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5.000 TL</w:t>
            </w:r>
          </w:p>
        </w:tc>
      </w:tr>
      <w:tr w:rsidR="00EB730E" w:rsidRPr="009842B2" w:rsidTr="009842B2">
        <w:trPr>
          <w:jc w:val="center"/>
        </w:trPr>
        <w:tc>
          <w:tcPr>
            <w:tcW w:w="1105" w:type="pct"/>
            <w:shd w:val="clear" w:color="auto" w:fill="auto"/>
            <w:vAlign w:val="center"/>
          </w:tcPr>
          <w:p w:rsidR="00EB730E" w:rsidRPr="009842B2" w:rsidRDefault="00EB730E" w:rsidP="009842B2">
            <w:pPr>
              <w:spacing w:after="120"/>
              <w:jc w:val="center"/>
              <w:rPr>
                <w:rFonts w:eastAsia="Calibri"/>
                <w:b/>
                <w:bCs/>
                <w:color w:val="010000"/>
                <w:szCs w:val="22"/>
              </w:rPr>
            </w:pPr>
          </w:p>
        </w:tc>
        <w:tc>
          <w:tcPr>
            <w:tcW w:w="940" w:type="pct"/>
            <w:shd w:val="clear" w:color="auto" w:fill="auto"/>
            <w:vAlign w:val="center"/>
          </w:tcPr>
          <w:p w:rsidR="00EB730E" w:rsidRPr="009842B2" w:rsidRDefault="00EB730E" w:rsidP="009842B2">
            <w:pPr>
              <w:spacing w:after="120"/>
              <w:jc w:val="center"/>
              <w:rPr>
                <w:rFonts w:eastAsia="Calibri"/>
                <w:b/>
                <w:bCs/>
                <w:color w:val="010000"/>
                <w:szCs w:val="22"/>
              </w:rPr>
            </w:pPr>
          </w:p>
        </w:tc>
        <w:tc>
          <w:tcPr>
            <w:tcW w:w="2103" w:type="pct"/>
            <w:shd w:val="clear" w:color="auto" w:fill="auto"/>
            <w:vAlign w:val="center"/>
          </w:tcPr>
          <w:p w:rsidR="00EB730E" w:rsidRPr="009842B2" w:rsidRDefault="00EB730E" w:rsidP="009842B2">
            <w:pPr>
              <w:spacing w:after="120"/>
              <w:jc w:val="center"/>
              <w:rPr>
                <w:rFonts w:eastAsia="Calibri"/>
                <w:b/>
                <w:color w:val="010000"/>
                <w:szCs w:val="22"/>
              </w:rPr>
            </w:pPr>
            <w:r w:rsidRPr="009842B2">
              <w:rPr>
                <w:rFonts w:eastAsia="Calibri"/>
                <w:b/>
                <w:color w:val="010000"/>
                <w:szCs w:val="22"/>
              </w:rPr>
              <w:t>Toplam</w:t>
            </w:r>
          </w:p>
        </w:tc>
        <w:tc>
          <w:tcPr>
            <w:tcW w:w="851" w:type="pct"/>
            <w:shd w:val="clear" w:color="auto" w:fill="auto"/>
            <w:vAlign w:val="center"/>
          </w:tcPr>
          <w:p w:rsidR="00EB730E" w:rsidRPr="009842B2" w:rsidRDefault="00EB730E" w:rsidP="009842B2">
            <w:pPr>
              <w:spacing w:after="120"/>
              <w:jc w:val="center"/>
              <w:rPr>
                <w:rFonts w:eastAsia="Calibri"/>
                <w:b/>
                <w:color w:val="010000"/>
                <w:szCs w:val="22"/>
              </w:rPr>
            </w:pPr>
            <w:r w:rsidRPr="009842B2">
              <w:rPr>
                <w:rFonts w:eastAsia="Calibri"/>
                <w:b/>
                <w:color w:val="010000"/>
                <w:szCs w:val="22"/>
              </w:rPr>
              <w:t>7.000 TL</w:t>
            </w:r>
          </w:p>
        </w:tc>
      </w:tr>
    </w:tbl>
    <w:p w:rsidR="009842B2" w:rsidRDefault="009842B2" w:rsidP="009842B2">
      <w:pPr>
        <w:spacing w:after="200"/>
        <w:ind w:right="283" w:firstLine="709"/>
        <w:jc w:val="both"/>
        <w:rPr>
          <w:color w:val="010000"/>
          <w:szCs w:val="20"/>
        </w:rPr>
      </w:pPr>
    </w:p>
    <w:p w:rsidR="00EB730E" w:rsidRPr="009842B2" w:rsidRDefault="00EB730E" w:rsidP="009842B2">
      <w:pPr>
        <w:spacing w:after="200"/>
        <w:ind w:right="283" w:firstLine="709"/>
        <w:jc w:val="both"/>
        <w:rPr>
          <w:color w:val="010000"/>
          <w:szCs w:val="20"/>
        </w:rPr>
      </w:pPr>
      <w:r w:rsidRPr="009842B2">
        <w:rPr>
          <w:color w:val="010000"/>
          <w:szCs w:val="20"/>
        </w:rPr>
        <w:t>Bu doğrultuda Partiye, gerekli açıklamayı yapması amacıyla 27/5/2024 tarihli ve E-93995552-175.01-24024565 sayılı evrak gönderilmiş; Partiden eksik bilgi ve belgeleri tamamlaması istenmiştir. Ancak ilgili yazıya Parti herhangi bir cevap sunmamış, bilgi ve belge göndermemiştir.</w:t>
      </w:r>
    </w:p>
    <w:p w:rsidR="00EB730E" w:rsidRPr="009842B2" w:rsidRDefault="00EB730E" w:rsidP="009842B2">
      <w:pPr>
        <w:spacing w:after="200"/>
        <w:ind w:right="283" w:firstLine="709"/>
        <w:jc w:val="both"/>
        <w:rPr>
          <w:color w:val="010000"/>
        </w:rPr>
      </w:pPr>
      <w:r w:rsidRPr="009842B2">
        <w:rPr>
          <w:color w:val="010000"/>
        </w:rPr>
        <w:t>2820 sayılı Kanun’un “</w:t>
      </w:r>
      <w:r w:rsidRPr="009842B2">
        <w:rPr>
          <w:i/>
          <w:color w:val="010000"/>
        </w:rPr>
        <w:t>Bağışlar</w:t>
      </w:r>
      <w:r w:rsidRPr="009842B2">
        <w:rPr>
          <w:color w:val="010000"/>
        </w:rPr>
        <w:t>” başlıklı 66. maddesinin ikinci fıkrasında bağış veya bağışların bağışta bulunana veya yetkili temsilcisine ya da vekiline ait olduğunun partice verilen makbuzda açıkça belirtilmesi gerektiği, böyle bir belgeye dayanılmaksızın siyasi partilerce bağış kabul edilemeyeceği ve siyasi partilerin adına açılmış banka hesaplarına yapılan bağışlar için ayrıca gelir makbuzu düzenlenmeyeceği ifade edilmektedir.</w:t>
      </w:r>
    </w:p>
    <w:p w:rsidR="00EB730E" w:rsidRPr="009842B2" w:rsidRDefault="00EB730E" w:rsidP="009842B2">
      <w:pPr>
        <w:spacing w:after="200"/>
        <w:ind w:right="283" w:firstLine="709"/>
        <w:jc w:val="both"/>
        <w:rPr>
          <w:color w:val="010000"/>
        </w:rPr>
      </w:pPr>
      <w:r w:rsidRPr="009842B2">
        <w:rPr>
          <w:color w:val="010000"/>
        </w:rPr>
        <w:t>Aynı Kanun’un “</w:t>
      </w:r>
      <w:r w:rsidRPr="009842B2">
        <w:rPr>
          <w:i/>
          <w:color w:val="010000"/>
        </w:rPr>
        <w:t>Gelirlerin sağlanmasında usul</w:t>
      </w:r>
      <w:r w:rsidRPr="009842B2">
        <w:rPr>
          <w:color w:val="010000"/>
        </w:rPr>
        <w:t xml:space="preserve">” başlıklı 69. maddesinin ikinci fıkrasının birinci cümlesinde ise siyasi partilerin genel merkezlerinin ve teşkilat kademelerinin gelirlerinin parti merkez karar ve yönetim kurulunca bastırılan makbuzlar karşılığında alınacağı; üçüncü fıkrasında ise sağlanan gelirin türü ve miktarı ile gelirin sağlandığı kimsenin adının, soyadının ve adresinin, makbuzu düzenleyenin sıfatının, adının, soyadının ve imzasının, makbuzda ve dip koçanlarında yer alacağı düzenlenmiştir. </w:t>
      </w:r>
    </w:p>
    <w:p w:rsidR="00EB730E" w:rsidRPr="009842B2" w:rsidRDefault="00EB730E" w:rsidP="009842B2">
      <w:pPr>
        <w:spacing w:after="200"/>
        <w:ind w:right="283" w:firstLine="709"/>
        <w:jc w:val="both"/>
        <w:rPr>
          <w:color w:val="010000"/>
        </w:rPr>
      </w:pPr>
      <w:r w:rsidRPr="009842B2">
        <w:rPr>
          <w:color w:val="010000"/>
        </w:rPr>
        <w:t>Bu hükümlere göre siyasi partilerin gelirleri, parti merkez karar ve yönetim kurulunca bastırılan ve sağlanan gelirin türü ve miktarı ile gelirin sağlandığı kimsenin adı, soyadı ve adresi, makbuzu düzenleyenin sıfatı, adı, soyadı ve imzasına yer verilen makbuzlar karşılığında alınabilecektir. Siyasi partilerin adına açılmış banka hesaplarına yapılan bağışlar için ayrıca gelir makbuzu düzenlenmeyecektir.</w:t>
      </w:r>
    </w:p>
    <w:p w:rsidR="00EB730E" w:rsidRPr="009842B2" w:rsidRDefault="00EB730E" w:rsidP="009842B2">
      <w:pPr>
        <w:spacing w:after="200"/>
        <w:ind w:right="283" w:firstLine="709"/>
        <w:jc w:val="both"/>
        <w:rPr>
          <w:color w:val="010000"/>
        </w:rPr>
      </w:pPr>
      <w:r w:rsidRPr="009842B2">
        <w:rPr>
          <w:color w:val="010000"/>
        </w:rPr>
        <w:t>Öte yandan 2820 sayılı Kanun'un 75. maddesinde “</w:t>
      </w:r>
      <w:r w:rsidRPr="009842B2">
        <w:rPr>
          <w:i/>
          <w:color w:val="010000"/>
        </w:rPr>
        <w:t>Anayasa Mahkemesi denetimi sonunda, o siyasi partinin gelir ve giderlerinin doğruluğuna ve kanuna uygunluğuna veya kanuna uygun olmayan gelirler ile giderler dolayısıyla da bunların Hazineye gelir kaydedilmesine karar verir.</w:t>
      </w:r>
      <w:r w:rsidRPr="009842B2">
        <w:rPr>
          <w:color w:val="010000"/>
        </w:rPr>
        <w:t>” ve 76. maddesinde de “</w:t>
      </w:r>
      <w:r w:rsidRPr="009842B2">
        <w:rPr>
          <w:i/>
          <w:color w:val="010000"/>
        </w:rPr>
        <w:t>Bu Kanunun 69 uncu maddesinde belirtilen esaslara aykırı olarak bir siyasi partinin tevsik edilmeyen kaynaklardan gelir sağladığı anlaşılırsa, Anayasa Mahkemesi kararıyla bu gelir Hazineye irat kaydedilir.</w:t>
      </w:r>
      <w:r w:rsidRPr="009842B2">
        <w:rPr>
          <w:color w:val="010000"/>
        </w:rPr>
        <w:t>” hükümleri yer almaktadır.</w:t>
      </w:r>
    </w:p>
    <w:p w:rsidR="00EB730E" w:rsidRPr="009842B2" w:rsidRDefault="00EB730E" w:rsidP="009842B2">
      <w:pPr>
        <w:spacing w:after="200"/>
        <w:ind w:right="283" w:firstLine="709"/>
        <w:jc w:val="both"/>
        <w:rPr>
          <w:color w:val="010000"/>
        </w:rPr>
      </w:pPr>
      <w:r w:rsidRPr="009842B2">
        <w:rPr>
          <w:color w:val="010000"/>
        </w:rPr>
        <w:lastRenderedPageBreak/>
        <w:t>Parti tarafından bağış olarak bildirilen ancak gelirin sağlandığı kimsenin adının ve soyadının belirtilmediği tutarlar 2820 sayılı Kanun’a uygun kabul edilmemiştir. Bu nedenle 7.000 TL tutarındaki gelir karşılığı Parti mal varlığının Hazineye irat kaydedilmesi gerekir.</w:t>
      </w:r>
    </w:p>
    <w:p w:rsidR="00EB730E" w:rsidRPr="009842B2" w:rsidRDefault="00EB730E" w:rsidP="009842B2">
      <w:pPr>
        <w:spacing w:after="200"/>
        <w:ind w:right="283" w:firstLine="709"/>
        <w:jc w:val="both"/>
        <w:rPr>
          <w:b/>
          <w:bCs/>
          <w:color w:val="010000"/>
        </w:rPr>
      </w:pPr>
      <w:r w:rsidRPr="009842B2">
        <w:rPr>
          <w:b/>
          <w:bCs/>
          <w:color w:val="010000"/>
        </w:rPr>
        <w:t>2. İl Örgütleri Gelirleri</w:t>
      </w:r>
    </w:p>
    <w:p w:rsidR="00EB730E" w:rsidRPr="009842B2" w:rsidRDefault="00323DA2" w:rsidP="009842B2">
      <w:pPr>
        <w:spacing w:after="200"/>
        <w:ind w:right="283" w:firstLine="709"/>
        <w:jc w:val="both"/>
        <w:rPr>
          <w:color w:val="010000"/>
        </w:rPr>
      </w:pPr>
      <w:r w:rsidRPr="009842B2">
        <w:rPr>
          <w:color w:val="010000"/>
        </w:rPr>
        <w:t>9</w:t>
      </w:r>
      <w:r w:rsidR="00EB730E" w:rsidRPr="009842B2">
        <w:rPr>
          <w:color w:val="010000"/>
        </w:rPr>
        <w:t xml:space="preserve">. Partinin il örgütlerinin gelirleri toplamı 1.100 TL olup bu tutarın tamamı bağışlardan oluşmaktadır. </w:t>
      </w:r>
    </w:p>
    <w:p w:rsidR="00EB730E" w:rsidRPr="009842B2" w:rsidRDefault="00323DA2" w:rsidP="009842B2">
      <w:pPr>
        <w:spacing w:after="200"/>
        <w:ind w:right="283" w:firstLine="709"/>
        <w:jc w:val="both"/>
        <w:rPr>
          <w:color w:val="010000"/>
        </w:rPr>
      </w:pPr>
      <w:r w:rsidRPr="009842B2">
        <w:rPr>
          <w:color w:val="010000"/>
        </w:rPr>
        <w:t>10</w:t>
      </w:r>
      <w:r w:rsidR="00EB730E" w:rsidRPr="009842B2">
        <w:rPr>
          <w:color w:val="010000"/>
        </w:rPr>
        <w:t>. Parti il örgütlerinin defter kayıtları ve gelir belgeleri üzerinde yapılan inceleme neticesinde gelirlerin 2820 sayılı Kanun’a uygun olarak sağlandığı sonucuna varılmıştır.</w:t>
      </w:r>
    </w:p>
    <w:p w:rsidR="00EB730E" w:rsidRPr="009842B2" w:rsidRDefault="00EB730E" w:rsidP="009842B2">
      <w:pPr>
        <w:spacing w:after="200"/>
        <w:ind w:right="283" w:firstLine="709"/>
        <w:jc w:val="both"/>
        <w:rPr>
          <w:color w:val="010000"/>
        </w:rPr>
      </w:pPr>
      <w:r w:rsidRPr="009842B2">
        <w:rPr>
          <w:b/>
          <w:bCs/>
          <w:color w:val="010000"/>
        </w:rPr>
        <w:t>B. Giderlerin İncelenmesi</w:t>
      </w:r>
    </w:p>
    <w:p w:rsidR="00EB730E" w:rsidRPr="009842B2" w:rsidRDefault="00EB730E" w:rsidP="009842B2">
      <w:pPr>
        <w:spacing w:after="200"/>
        <w:ind w:right="283" w:firstLine="709"/>
        <w:jc w:val="both"/>
        <w:rPr>
          <w:color w:val="010000"/>
        </w:rPr>
      </w:pPr>
      <w:r w:rsidRPr="009842B2">
        <w:rPr>
          <w:b/>
          <w:color w:val="010000"/>
        </w:rPr>
        <w:t>1.</w:t>
      </w:r>
      <w:r w:rsidRPr="009842B2">
        <w:rPr>
          <w:color w:val="010000"/>
        </w:rPr>
        <w:t xml:space="preserve"> </w:t>
      </w:r>
      <w:r w:rsidRPr="009842B2">
        <w:rPr>
          <w:b/>
          <w:bCs/>
          <w:color w:val="010000"/>
        </w:rPr>
        <w:t>Genel Merkez Giderleri</w:t>
      </w:r>
    </w:p>
    <w:p w:rsidR="00EB730E" w:rsidRPr="009842B2" w:rsidRDefault="00EB730E" w:rsidP="009842B2">
      <w:pPr>
        <w:spacing w:after="200"/>
        <w:ind w:right="283" w:firstLine="709"/>
        <w:jc w:val="both"/>
        <w:rPr>
          <w:color w:val="010000"/>
          <w:shd w:val="clear" w:color="auto" w:fill="FFFFFF"/>
        </w:rPr>
      </w:pPr>
      <w:r w:rsidRPr="009842B2">
        <w:rPr>
          <w:color w:val="010000"/>
        </w:rPr>
        <w:t>1</w:t>
      </w:r>
      <w:r w:rsidR="00323DA2" w:rsidRPr="009842B2">
        <w:rPr>
          <w:color w:val="010000"/>
        </w:rPr>
        <w:t>1</w:t>
      </w:r>
      <w:r w:rsidRPr="009842B2">
        <w:rPr>
          <w:color w:val="010000"/>
        </w:rPr>
        <w:t xml:space="preserve">. </w:t>
      </w:r>
      <w:r w:rsidRPr="009842B2">
        <w:rPr>
          <w:color w:val="010000"/>
          <w:shd w:val="clear" w:color="auto" w:fill="FFFFFF"/>
        </w:rPr>
        <w:t xml:space="preserve">Partinin Genel Merkez giderleri toplamı </w:t>
      </w:r>
      <w:r w:rsidRPr="009842B2">
        <w:rPr>
          <w:color w:val="010000"/>
        </w:rPr>
        <w:t xml:space="preserve">46.398,55 </w:t>
      </w:r>
      <w:r w:rsidRPr="009842B2">
        <w:rPr>
          <w:color w:val="010000"/>
          <w:shd w:val="clear" w:color="auto" w:fill="FFFFFF"/>
        </w:rPr>
        <w:t>TL olup bu tutarın 9.338,78 TL’si personel giderlerinden, 5.992,45 TL’si haberleşme giderlerinden, 53,25 TL’si banka masraflarından, 25.041,20 TL’si kira giderlerinden, 151,76 TL’si ısınma, aydınlatma ve temizlik giderlerinden, 5.821,11 TL’si vergi, sigorta ve noter giderlerinden oluşmaktadır.</w:t>
      </w:r>
      <w:r w:rsidRPr="009842B2">
        <w:rPr>
          <w:color w:val="010000"/>
          <w:szCs w:val="20"/>
        </w:rPr>
        <w:t xml:space="preserve"> Parti Genel Merkezinin gelecek yıla devreden nakit toplamının 8.336,63 TL olduğu anlaşılmıştır.</w:t>
      </w:r>
    </w:p>
    <w:p w:rsidR="00EB730E" w:rsidRPr="009842B2" w:rsidRDefault="00EB730E" w:rsidP="009842B2">
      <w:pPr>
        <w:spacing w:after="200"/>
        <w:ind w:right="283" w:firstLine="709"/>
        <w:jc w:val="both"/>
        <w:rPr>
          <w:color w:val="010000"/>
        </w:rPr>
      </w:pPr>
      <w:r w:rsidRPr="009842B2">
        <w:rPr>
          <w:color w:val="010000"/>
          <w:shd w:val="clear" w:color="auto" w:fill="FFFFFF"/>
        </w:rPr>
        <w:t>1</w:t>
      </w:r>
      <w:r w:rsidR="00323DA2" w:rsidRPr="009842B2">
        <w:rPr>
          <w:color w:val="010000"/>
          <w:shd w:val="clear" w:color="auto" w:fill="FFFFFF"/>
        </w:rPr>
        <w:t>2</w:t>
      </w:r>
      <w:r w:rsidRPr="009842B2">
        <w:rPr>
          <w:color w:val="010000"/>
          <w:shd w:val="clear" w:color="auto" w:fill="FFFFFF"/>
        </w:rPr>
        <w:t>.</w:t>
      </w:r>
      <w:r w:rsidR="00A443CA" w:rsidRPr="009842B2">
        <w:rPr>
          <w:color w:val="010000"/>
          <w:shd w:val="clear" w:color="auto" w:fill="FFFFFF"/>
        </w:rPr>
        <w:t xml:space="preserve"> </w:t>
      </w:r>
      <w:r w:rsidRPr="009842B2">
        <w:rPr>
          <w:color w:val="010000"/>
        </w:rPr>
        <w:t>Parti Genel Merkez kesin hesabının dayanağını oluşturan gider belgeleri ile bu belgelerin kaydedildiği defterler ile 2021 yılına ait banka hesap özetinin incelenmesi neticesinde aşağıda belirtilenler dışında kalan giderlerin 2820 sayılı Kanun’a uygun olarak gerçekleştirildiği sonucuna varılmıştır.</w:t>
      </w:r>
    </w:p>
    <w:p w:rsidR="00EB730E" w:rsidRPr="009842B2" w:rsidRDefault="00EB730E" w:rsidP="009842B2">
      <w:pPr>
        <w:spacing w:after="200"/>
        <w:ind w:right="283" w:firstLine="709"/>
        <w:jc w:val="both"/>
        <w:rPr>
          <w:color w:val="010000"/>
          <w:highlight w:val="red"/>
        </w:rPr>
      </w:pPr>
      <w:r w:rsidRPr="009842B2">
        <w:rPr>
          <w:color w:val="010000"/>
        </w:rPr>
        <w:t>1</w:t>
      </w:r>
      <w:r w:rsidR="00323DA2" w:rsidRPr="009842B2">
        <w:rPr>
          <w:color w:val="010000"/>
        </w:rPr>
        <w:t>3</w:t>
      </w:r>
      <w:r w:rsidRPr="009842B2">
        <w:rPr>
          <w:color w:val="010000"/>
        </w:rPr>
        <w:t xml:space="preserve">. Banka hesap özetinde yer alan ancak işletme defterinde yer almayan ve aşağıdaki tabloda ayrıntıları verilen gider kayıtlarının olduğu görülmüştür. </w:t>
      </w:r>
    </w:p>
    <w:p w:rsidR="00EB730E" w:rsidRPr="009842B2" w:rsidRDefault="00EB730E" w:rsidP="009842B2">
      <w:pPr>
        <w:spacing w:after="200"/>
        <w:ind w:right="283" w:firstLine="709"/>
        <w:jc w:val="both"/>
        <w:rPr>
          <w:b/>
          <w:bCs/>
          <w:color w:val="010000"/>
          <w:szCs w:val="22"/>
        </w:rPr>
      </w:pPr>
      <w:r w:rsidRPr="009842B2">
        <w:rPr>
          <w:b/>
          <w:bCs/>
          <w:color w:val="010000"/>
          <w:szCs w:val="22"/>
        </w:rPr>
        <w:t>Banka Hesap Özeti Kayıtları</w:t>
      </w:r>
    </w:p>
    <w:p w:rsidR="009842B2" w:rsidRDefault="009842B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4992"/>
        <w:gridCol w:w="2249"/>
      </w:tblGrid>
      <w:tr w:rsidR="00EB730E" w:rsidRPr="009842B2" w:rsidTr="009842B2">
        <w:trPr>
          <w:jc w:val="center"/>
        </w:trPr>
        <w:tc>
          <w:tcPr>
            <w:tcW w:w="1294"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 xml:space="preserve">İşlem Tarihi </w:t>
            </w:r>
          </w:p>
        </w:tc>
        <w:tc>
          <w:tcPr>
            <w:tcW w:w="2555"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Açıklama</w:t>
            </w:r>
          </w:p>
        </w:tc>
        <w:tc>
          <w:tcPr>
            <w:tcW w:w="1151"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İşlem Tutarı</w:t>
            </w:r>
          </w:p>
        </w:tc>
      </w:tr>
      <w:tr w:rsidR="00EB730E" w:rsidRPr="009842B2" w:rsidTr="009842B2">
        <w:trPr>
          <w:jc w:val="center"/>
        </w:trPr>
        <w:tc>
          <w:tcPr>
            <w:tcW w:w="1294"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19/4/2021</w:t>
            </w:r>
          </w:p>
        </w:tc>
        <w:tc>
          <w:tcPr>
            <w:tcW w:w="2555" w:type="pct"/>
            <w:shd w:val="clear" w:color="auto" w:fill="auto"/>
            <w:vAlign w:val="center"/>
          </w:tcPr>
          <w:p w:rsidR="00EB730E" w:rsidRPr="009842B2" w:rsidRDefault="00EB730E" w:rsidP="009842B2">
            <w:pPr>
              <w:spacing w:after="120"/>
              <w:rPr>
                <w:rFonts w:eastAsia="Calibri"/>
                <w:color w:val="010000"/>
                <w:szCs w:val="22"/>
              </w:rPr>
            </w:pPr>
            <w:r w:rsidRPr="009842B2">
              <w:rPr>
                <w:rFonts w:eastAsia="Calibri"/>
                <w:color w:val="010000"/>
                <w:szCs w:val="22"/>
              </w:rPr>
              <w:t xml:space="preserve">Talimatla </w:t>
            </w:r>
            <w:proofErr w:type="spellStart"/>
            <w:r w:rsidRPr="009842B2">
              <w:rPr>
                <w:rFonts w:eastAsia="Calibri"/>
                <w:color w:val="010000"/>
                <w:szCs w:val="22"/>
              </w:rPr>
              <w:t>Elanur</w:t>
            </w:r>
            <w:proofErr w:type="spellEnd"/>
            <w:r w:rsidRPr="009842B2">
              <w:rPr>
                <w:rFonts w:eastAsia="Calibri"/>
                <w:color w:val="010000"/>
                <w:szCs w:val="22"/>
              </w:rPr>
              <w:t xml:space="preserve"> Ekin’e ödenen</w:t>
            </w:r>
          </w:p>
        </w:tc>
        <w:tc>
          <w:tcPr>
            <w:tcW w:w="1151"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250 TL</w:t>
            </w:r>
          </w:p>
        </w:tc>
      </w:tr>
      <w:tr w:rsidR="00EB730E" w:rsidRPr="009842B2" w:rsidTr="009842B2">
        <w:trPr>
          <w:jc w:val="center"/>
        </w:trPr>
        <w:tc>
          <w:tcPr>
            <w:tcW w:w="1294"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28/6/2021</w:t>
            </w:r>
          </w:p>
        </w:tc>
        <w:tc>
          <w:tcPr>
            <w:tcW w:w="2555" w:type="pct"/>
            <w:shd w:val="clear" w:color="auto" w:fill="auto"/>
            <w:vAlign w:val="center"/>
          </w:tcPr>
          <w:p w:rsidR="00EB730E" w:rsidRPr="009842B2" w:rsidRDefault="00EB730E" w:rsidP="009842B2">
            <w:pPr>
              <w:spacing w:after="120"/>
              <w:rPr>
                <w:rFonts w:eastAsia="Calibri"/>
                <w:color w:val="010000"/>
                <w:szCs w:val="22"/>
              </w:rPr>
            </w:pPr>
            <w:r w:rsidRPr="009842B2">
              <w:rPr>
                <w:rFonts w:eastAsia="Calibri"/>
                <w:color w:val="010000"/>
                <w:szCs w:val="22"/>
              </w:rPr>
              <w:t xml:space="preserve">Talimatla </w:t>
            </w:r>
            <w:proofErr w:type="spellStart"/>
            <w:r w:rsidRPr="009842B2">
              <w:rPr>
                <w:rFonts w:eastAsia="Calibri"/>
                <w:color w:val="010000"/>
                <w:szCs w:val="22"/>
              </w:rPr>
              <w:t>Elanur</w:t>
            </w:r>
            <w:proofErr w:type="spellEnd"/>
            <w:r w:rsidRPr="009842B2">
              <w:rPr>
                <w:rFonts w:eastAsia="Calibri"/>
                <w:color w:val="010000"/>
                <w:szCs w:val="22"/>
              </w:rPr>
              <w:t xml:space="preserve"> Ekin’e ödenen</w:t>
            </w:r>
          </w:p>
        </w:tc>
        <w:tc>
          <w:tcPr>
            <w:tcW w:w="1151"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75 TL</w:t>
            </w:r>
          </w:p>
        </w:tc>
      </w:tr>
      <w:tr w:rsidR="00EB730E" w:rsidRPr="009842B2" w:rsidTr="009842B2">
        <w:trPr>
          <w:jc w:val="center"/>
        </w:trPr>
        <w:tc>
          <w:tcPr>
            <w:tcW w:w="1294"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14/12/2021</w:t>
            </w:r>
          </w:p>
        </w:tc>
        <w:tc>
          <w:tcPr>
            <w:tcW w:w="2555" w:type="pct"/>
            <w:shd w:val="clear" w:color="auto" w:fill="auto"/>
            <w:vAlign w:val="center"/>
          </w:tcPr>
          <w:p w:rsidR="00EB730E" w:rsidRPr="009842B2" w:rsidRDefault="00EB730E" w:rsidP="009842B2">
            <w:pPr>
              <w:spacing w:after="120"/>
              <w:rPr>
                <w:rFonts w:eastAsia="Calibri"/>
                <w:color w:val="010000"/>
                <w:szCs w:val="22"/>
              </w:rPr>
            </w:pPr>
            <w:r w:rsidRPr="009842B2">
              <w:rPr>
                <w:rFonts w:eastAsia="Calibri"/>
                <w:color w:val="010000"/>
                <w:szCs w:val="22"/>
              </w:rPr>
              <w:t>Mehmet Özenç Turan’a talimat ile ödenen</w:t>
            </w:r>
          </w:p>
        </w:tc>
        <w:tc>
          <w:tcPr>
            <w:tcW w:w="1151"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500 TL</w:t>
            </w:r>
          </w:p>
        </w:tc>
      </w:tr>
      <w:tr w:rsidR="00EB730E" w:rsidRPr="009842B2" w:rsidTr="009842B2">
        <w:trPr>
          <w:jc w:val="center"/>
        </w:trPr>
        <w:tc>
          <w:tcPr>
            <w:tcW w:w="1294"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22/12/2021</w:t>
            </w:r>
          </w:p>
        </w:tc>
        <w:tc>
          <w:tcPr>
            <w:tcW w:w="2555" w:type="pct"/>
            <w:shd w:val="clear" w:color="auto" w:fill="auto"/>
            <w:vAlign w:val="center"/>
          </w:tcPr>
          <w:p w:rsidR="00EB730E" w:rsidRPr="009842B2" w:rsidRDefault="00EB730E" w:rsidP="009842B2">
            <w:pPr>
              <w:spacing w:after="120"/>
              <w:rPr>
                <w:rFonts w:eastAsia="Calibri"/>
                <w:color w:val="010000"/>
                <w:szCs w:val="22"/>
              </w:rPr>
            </w:pPr>
            <w:r w:rsidRPr="009842B2">
              <w:rPr>
                <w:rFonts w:eastAsia="Calibri"/>
                <w:color w:val="010000"/>
                <w:szCs w:val="22"/>
              </w:rPr>
              <w:t>Mehmet Özenç Turan’a talimat ile ödenen</w:t>
            </w:r>
          </w:p>
        </w:tc>
        <w:tc>
          <w:tcPr>
            <w:tcW w:w="1151"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350 TL</w:t>
            </w:r>
          </w:p>
        </w:tc>
      </w:tr>
      <w:tr w:rsidR="00EB730E" w:rsidRPr="009842B2" w:rsidTr="009842B2">
        <w:trPr>
          <w:jc w:val="center"/>
        </w:trPr>
        <w:tc>
          <w:tcPr>
            <w:tcW w:w="1294" w:type="pct"/>
            <w:shd w:val="clear" w:color="auto" w:fill="auto"/>
            <w:vAlign w:val="center"/>
          </w:tcPr>
          <w:p w:rsidR="00EB730E" w:rsidRPr="009842B2" w:rsidRDefault="00EB730E" w:rsidP="009842B2">
            <w:pPr>
              <w:spacing w:after="120"/>
              <w:jc w:val="center"/>
              <w:rPr>
                <w:rFonts w:eastAsia="Calibri"/>
                <w:color w:val="010000"/>
                <w:szCs w:val="22"/>
              </w:rPr>
            </w:pPr>
          </w:p>
        </w:tc>
        <w:tc>
          <w:tcPr>
            <w:tcW w:w="2555"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Toplam</w:t>
            </w:r>
          </w:p>
        </w:tc>
        <w:tc>
          <w:tcPr>
            <w:tcW w:w="1151"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1.175 TL</w:t>
            </w:r>
          </w:p>
        </w:tc>
      </w:tr>
    </w:tbl>
    <w:p w:rsidR="009842B2" w:rsidRDefault="009842B2" w:rsidP="009842B2">
      <w:pPr>
        <w:spacing w:after="200"/>
        <w:ind w:right="283" w:firstLine="709"/>
        <w:jc w:val="both"/>
        <w:rPr>
          <w:color w:val="010000"/>
        </w:rPr>
      </w:pPr>
    </w:p>
    <w:p w:rsidR="00EB730E" w:rsidRPr="009842B2" w:rsidRDefault="00EB730E" w:rsidP="009842B2">
      <w:pPr>
        <w:spacing w:after="200"/>
        <w:ind w:right="283" w:firstLine="709"/>
        <w:jc w:val="both"/>
        <w:rPr>
          <w:color w:val="010000"/>
        </w:rPr>
      </w:pPr>
      <w:r w:rsidRPr="009842B2">
        <w:rPr>
          <w:color w:val="010000"/>
        </w:rPr>
        <w:t xml:space="preserve">Diğer taraftan işletme defterinde kayıt altına alınan Doğuş Bayrak ve </w:t>
      </w:r>
      <w:proofErr w:type="spellStart"/>
      <w:r w:rsidRPr="009842B2">
        <w:rPr>
          <w:color w:val="010000"/>
        </w:rPr>
        <w:t>Gliainnovasyon</w:t>
      </w:r>
      <w:proofErr w:type="spellEnd"/>
      <w:r w:rsidRPr="009842B2">
        <w:rPr>
          <w:color w:val="010000"/>
        </w:rPr>
        <w:t xml:space="preserve"> A.Ş.ye yapılan ödemelere ilişkin fatura bulunmamakta, ayrıca banka hesap özetinde de ödemeye ilişkin açıklamanın yetersiz olduğu ve dekontun da bulunmadığı görülmektedir. Aşağıda yapılan ödemelerin detayları yer almaktadır.</w:t>
      </w:r>
    </w:p>
    <w:p w:rsidR="009842B2" w:rsidRDefault="009842B2" w:rsidP="009842B2">
      <w:pPr>
        <w:spacing w:after="200"/>
        <w:ind w:right="283" w:firstLine="709"/>
        <w:jc w:val="both"/>
        <w:rPr>
          <w:b/>
          <w:bCs/>
          <w:color w:val="010000"/>
        </w:rPr>
      </w:pPr>
    </w:p>
    <w:p w:rsidR="009842B2" w:rsidRDefault="009842B2" w:rsidP="009842B2">
      <w:pPr>
        <w:spacing w:after="200"/>
        <w:ind w:right="283" w:firstLine="709"/>
        <w:jc w:val="both"/>
        <w:rPr>
          <w:b/>
          <w:bCs/>
          <w:color w:val="010000"/>
        </w:rPr>
      </w:pPr>
    </w:p>
    <w:p w:rsidR="00EB730E" w:rsidRPr="009842B2" w:rsidRDefault="00EB730E" w:rsidP="009842B2">
      <w:pPr>
        <w:spacing w:after="200"/>
        <w:ind w:right="283" w:firstLine="709"/>
        <w:jc w:val="both"/>
        <w:rPr>
          <w:b/>
          <w:bCs/>
          <w:color w:val="010000"/>
        </w:rPr>
      </w:pPr>
      <w:r w:rsidRPr="009842B2">
        <w:rPr>
          <w:b/>
          <w:bCs/>
          <w:color w:val="010000"/>
        </w:rPr>
        <w:t>İşletme Defteri Kayıtları ve Banka Hesap Özeti</w:t>
      </w:r>
      <w:r w:rsidR="009842B2" w:rsidRPr="009842B2">
        <w:rPr>
          <w:b/>
          <w:bCs/>
          <w:color w:val="01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800"/>
        <w:gridCol w:w="2630"/>
        <w:gridCol w:w="2101"/>
      </w:tblGrid>
      <w:tr w:rsidR="00EB730E" w:rsidRPr="009842B2" w:rsidTr="009842B2">
        <w:trPr>
          <w:jc w:val="center"/>
        </w:trPr>
        <w:tc>
          <w:tcPr>
            <w:tcW w:w="1146"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lastRenderedPageBreak/>
              <w:t xml:space="preserve">İşlem Tarihi </w:t>
            </w:r>
          </w:p>
        </w:tc>
        <w:tc>
          <w:tcPr>
            <w:tcW w:w="1433"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İşletme Defteri</w:t>
            </w:r>
          </w:p>
        </w:tc>
        <w:tc>
          <w:tcPr>
            <w:tcW w:w="1346"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Banka Hesap Özeti</w:t>
            </w:r>
          </w:p>
        </w:tc>
        <w:tc>
          <w:tcPr>
            <w:tcW w:w="1076"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İşlem Tutarı</w:t>
            </w:r>
          </w:p>
        </w:tc>
      </w:tr>
      <w:tr w:rsidR="00EB730E" w:rsidRPr="009842B2" w:rsidTr="009842B2">
        <w:trPr>
          <w:jc w:val="center"/>
        </w:trPr>
        <w:tc>
          <w:tcPr>
            <w:tcW w:w="1146"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1/3/2021</w:t>
            </w:r>
          </w:p>
        </w:tc>
        <w:tc>
          <w:tcPr>
            <w:tcW w:w="1433" w:type="pct"/>
            <w:shd w:val="clear" w:color="auto" w:fill="auto"/>
            <w:vAlign w:val="center"/>
          </w:tcPr>
          <w:p w:rsidR="00EB730E" w:rsidRPr="009842B2" w:rsidRDefault="00EB730E" w:rsidP="009842B2">
            <w:pPr>
              <w:pStyle w:val="AralkYok"/>
              <w:spacing w:after="120"/>
              <w:rPr>
                <w:rFonts w:eastAsia="Calibri"/>
                <w:color w:val="010000"/>
              </w:rPr>
            </w:pPr>
            <w:r w:rsidRPr="009842B2">
              <w:rPr>
                <w:rFonts w:eastAsia="Calibri"/>
                <w:color w:val="010000"/>
              </w:rPr>
              <w:t>Doğuş Bayrak</w:t>
            </w:r>
          </w:p>
        </w:tc>
        <w:tc>
          <w:tcPr>
            <w:tcW w:w="1346" w:type="pct"/>
            <w:shd w:val="clear" w:color="auto" w:fill="auto"/>
            <w:vAlign w:val="center"/>
          </w:tcPr>
          <w:p w:rsidR="00EB730E" w:rsidRPr="009842B2" w:rsidRDefault="00EB730E" w:rsidP="009842B2">
            <w:pPr>
              <w:pStyle w:val="AralkYok"/>
              <w:spacing w:after="120"/>
              <w:rPr>
                <w:rFonts w:eastAsia="Calibri"/>
                <w:color w:val="010000"/>
              </w:rPr>
            </w:pPr>
            <w:r w:rsidRPr="009842B2">
              <w:rPr>
                <w:rFonts w:eastAsia="Calibri"/>
                <w:color w:val="010000"/>
              </w:rPr>
              <w:t>Yurt Partisi Genel Merkezi, TR5200062000</w:t>
            </w:r>
          </w:p>
        </w:tc>
        <w:tc>
          <w:tcPr>
            <w:tcW w:w="1076"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1.350 TL</w:t>
            </w:r>
          </w:p>
        </w:tc>
      </w:tr>
      <w:tr w:rsidR="00EB730E" w:rsidRPr="009842B2" w:rsidTr="009842B2">
        <w:trPr>
          <w:jc w:val="center"/>
        </w:trPr>
        <w:tc>
          <w:tcPr>
            <w:tcW w:w="1146"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1/3/2021</w:t>
            </w:r>
          </w:p>
        </w:tc>
        <w:tc>
          <w:tcPr>
            <w:tcW w:w="1433" w:type="pct"/>
            <w:shd w:val="clear" w:color="auto" w:fill="auto"/>
            <w:vAlign w:val="center"/>
          </w:tcPr>
          <w:p w:rsidR="00EB730E" w:rsidRPr="009842B2" w:rsidRDefault="00EB730E" w:rsidP="009842B2">
            <w:pPr>
              <w:pStyle w:val="AralkYok"/>
              <w:spacing w:after="120"/>
              <w:rPr>
                <w:rFonts w:eastAsia="Calibri"/>
                <w:color w:val="010000"/>
              </w:rPr>
            </w:pPr>
            <w:r w:rsidRPr="009842B2">
              <w:rPr>
                <w:rFonts w:eastAsia="Calibri"/>
                <w:color w:val="010000"/>
              </w:rPr>
              <w:t>Doğuş Bayrak-</w:t>
            </w:r>
            <w:proofErr w:type="spellStart"/>
            <w:r w:rsidRPr="009842B2">
              <w:rPr>
                <w:rFonts w:eastAsia="Calibri"/>
                <w:color w:val="010000"/>
              </w:rPr>
              <w:t>Hvl</w:t>
            </w:r>
            <w:proofErr w:type="spellEnd"/>
            <w:r w:rsidRPr="009842B2">
              <w:rPr>
                <w:rFonts w:eastAsia="Calibri"/>
                <w:color w:val="010000"/>
              </w:rPr>
              <w:t xml:space="preserve"> Masrafı</w:t>
            </w:r>
          </w:p>
        </w:tc>
        <w:tc>
          <w:tcPr>
            <w:tcW w:w="1346" w:type="pct"/>
            <w:shd w:val="clear" w:color="auto" w:fill="auto"/>
            <w:vAlign w:val="center"/>
          </w:tcPr>
          <w:p w:rsidR="00EB730E" w:rsidRPr="009842B2" w:rsidRDefault="00EB730E" w:rsidP="009842B2">
            <w:pPr>
              <w:pStyle w:val="AralkYok"/>
              <w:spacing w:after="120"/>
              <w:rPr>
                <w:rFonts w:eastAsia="Calibri"/>
                <w:color w:val="010000"/>
              </w:rPr>
            </w:pPr>
            <w:r w:rsidRPr="009842B2">
              <w:rPr>
                <w:rFonts w:eastAsia="Calibri"/>
                <w:color w:val="010000"/>
              </w:rPr>
              <w:t>EFT Masrafı</w:t>
            </w:r>
          </w:p>
        </w:tc>
        <w:tc>
          <w:tcPr>
            <w:tcW w:w="1076"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2,40 TL</w:t>
            </w:r>
          </w:p>
        </w:tc>
      </w:tr>
      <w:tr w:rsidR="00EB730E" w:rsidRPr="009842B2" w:rsidTr="009842B2">
        <w:trPr>
          <w:jc w:val="center"/>
        </w:trPr>
        <w:tc>
          <w:tcPr>
            <w:tcW w:w="1146"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18/3/2021</w:t>
            </w:r>
          </w:p>
        </w:tc>
        <w:tc>
          <w:tcPr>
            <w:tcW w:w="1433" w:type="pct"/>
            <w:shd w:val="clear" w:color="auto" w:fill="auto"/>
            <w:vAlign w:val="center"/>
          </w:tcPr>
          <w:p w:rsidR="00EB730E" w:rsidRPr="009842B2" w:rsidRDefault="00EB730E" w:rsidP="009842B2">
            <w:pPr>
              <w:pStyle w:val="AralkYok"/>
              <w:spacing w:after="120"/>
              <w:rPr>
                <w:rFonts w:eastAsia="Calibri"/>
                <w:color w:val="010000"/>
              </w:rPr>
            </w:pPr>
            <w:proofErr w:type="spellStart"/>
            <w:r w:rsidRPr="009842B2">
              <w:rPr>
                <w:rFonts w:eastAsia="Calibri"/>
                <w:color w:val="010000"/>
              </w:rPr>
              <w:t>Gliainnovasyon</w:t>
            </w:r>
            <w:proofErr w:type="spellEnd"/>
            <w:r w:rsidRPr="009842B2">
              <w:rPr>
                <w:rFonts w:eastAsia="Calibri"/>
                <w:color w:val="010000"/>
              </w:rPr>
              <w:t xml:space="preserve"> A.Ş.</w:t>
            </w:r>
          </w:p>
        </w:tc>
        <w:tc>
          <w:tcPr>
            <w:tcW w:w="1346" w:type="pct"/>
            <w:shd w:val="clear" w:color="auto" w:fill="auto"/>
            <w:vAlign w:val="center"/>
          </w:tcPr>
          <w:p w:rsidR="00EB730E" w:rsidRPr="009842B2" w:rsidRDefault="00EB730E" w:rsidP="009842B2">
            <w:pPr>
              <w:pStyle w:val="AralkYok"/>
              <w:spacing w:after="120"/>
              <w:rPr>
                <w:rFonts w:eastAsia="Calibri"/>
                <w:color w:val="010000"/>
              </w:rPr>
            </w:pPr>
            <w:r w:rsidRPr="009842B2">
              <w:rPr>
                <w:rFonts w:eastAsia="Calibri"/>
                <w:color w:val="010000"/>
              </w:rPr>
              <w:t>Yurt Partisi Genel Merkezi, TR2100062000</w:t>
            </w:r>
          </w:p>
        </w:tc>
        <w:tc>
          <w:tcPr>
            <w:tcW w:w="1076"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607,70 TL</w:t>
            </w:r>
          </w:p>
        </w:tc>
      </w:tr>
      <w:tr w:rsidR="00EB730E" w:rsidRPr="009842B2" w:rsidTr="009842B2">
        <w:trPr>
          <w:jc w:val="center"/>
        </w:trPr>
        <w:tc>
          <w:tcPr>
            <w:tcW w:w="1146"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18/3/2021</w:t>
            </w:r>
          </w:p>
        </w:tc>
        <w:tc>
          <w:tcPr>
            <w:tcW w:w="1433" w:type="pct"/>
            <w:shd w:val="clear" w:color="auto" w:fill="auto"/>
            <w:vAlign w:val="center"/>
          </w:tcPr>
          <w:p w:rsidR="00EB730E" w:rsidRPr="009842B2" w:rsidRDefault="00EB730E" w:rsidP="009842B2">
            <w:pPr>
              <w:pStyle w:val="AralkYok"/>
              <w:spacing w:after="120"/>
              <w:rPr>
                <w:rFonts w:eastAsia="Calibri"/>
                <w:color w:val="010000"/>
              </w:rPr>
            </w:pPr>
            <w:proofErr w:type="spellStart"/>
            <w:r w:rsidRPr="009842B2">
              <w:rPr>
                <w:rFonts w:eastAsia="Calibri"/>
                <w:color w:val="010000"/>
              </w:rPr>
              <w:t>Gliainnovasyon</w:t>
            </w:r>
            <w:proofErr w:type="spellEnd"/>
            <w:r w:rsidRPr="009842B2">
              <w:rPr>
                <w:rFonts w:eastAsia="Calibri"/>
                <w:color w:val="010000"/>
              </w:rPr>
              <w:t xml:space="preserve"> A.Ş.- </w:t>
            </w:r>
            <w:proofErr w:type="spellStart"/>
            <w:r w:rsidRPr="009842B2">
              <w:rPr>
                <w:rFonts w:eastAsia="Calibri"/>
                <w:color w:val="010000"/>
              </w:rPr>
              <w:t>Hvl</w:t>
            </w:r>
            <w:proofErr w:type="spellEnd"/>
            <w:r w:rsidRPr="009842B2">
              <w:rPr>
                <w:rFonts w:eastAsia="Calibri"/>
                <w:color w:val="010000"/>
              </w:rPr>
              <w:t xml:space="preserve"> Masrafı</w:t>
            </w:r>
          </w:p>
        </w:tc>
        <w:tc>
          <w:tcPr>
            <w:tcW w:w="1346" w:type="pct"/>
            <w:shd w:val="clear" w:color="auto" w:fill="auto"/>
            <w:vAlign w:val="center"/>
          </w:tcPr>
          <w:p w:rsidR="00EB730E" w:rsidRPr="009842B2" w:rsidRDefault="00EB730E" w:rsidP="009842B2">
            <w:pPr>
              <w:pStyle w:val="AralkYok"/>
              <w:spacing w:after="120"/>
              <w:rPr>
                <w:rFonts w:eastAsia="Calibri"/>
                <w:color w:val="010000"/>
              </w:rPr>
            </w:pPr>
            <w:r w:rsidRPr="009842B2">
              <w:rPr>
                <w:rFonts w:eastAsia="Calibri"/>
                <w:color w:val="010000"/>
              </w:rPr>
              <w:t>EFT Masrafı</w:t>
            </w:r>
          </w:p>
        </w:tc>
        <w:tc>
          <w:tcPr>
            <w:tcW w:w="1076" w:type="pct"/>
            <w:shd w:val="clear" w:color="auto" w:fill="auto"/>
            <w:vAlign w:val="center"/>
          </w:tcPr>
          <w:p w:rsidR="00EB730E" w:rsidRPr="009842B2" w:rsidRDefault="00EB730E" w:rsidP="009842B2">
            <w:pPr>
              <w:spacing w:after="120"/>
              <w:jc w:val="center"/>
              <w:rPr>
                <w:rFonts w:eastAsia="Calibri"/>
                <w:color w:val="010000"/>
                <w:szCs w:val="22"/>
              </w:rPr>
            </w:pPr>
            <w:r w:rsidRPr="009842B2">
              <w:rPr>
                <w:rFonts w:eastAsia="Calibri"/>
                <w:color w:val="010000"/>
                <w:szCs w:val="22"/>
              </w:rPr>
              <w:t>1,20 TL</w:t>
            </w:r>
          </w:p>
        </w:tc>
      </w:tr>
      <w:tr w:rsidR="00EB730E" w:rsidRPr="009842B2" w:rsidTr="009842B2">
        <w:trPr>
          <w:jc w:val="center"/>
        </w:trPr>
        <w:tc>
          <w:tcPr>
            <w:tcW w:w="1146" w:type="pct"/>
            <w:shd w:val="clear" w:color="auto" w:fill="auto"/>
            <w:vAlign w:val="center"/>
          </w:tcPr>
          <w:p w:rsidR="00EB730E" w:rsidRPr="009842B2" w:rsidRDefault="00EB730E" w:rsidP="009842B2">
            <w:pPr>
              <w:spacing w:after="120"/>
              <w:jc w:val="center"/>
              <w:rPr>
                <w:rFonts w:eastAsia="Calibri"/>
                <w:color w:val="010000"/>
                <w:szCs w:val="22"/>
              </w:rPr>
            </w:pPr>
          </w:p>
        </w:tc>
        <w:tc>
          <w:tcPr>
            <w:tcW w:w="1433" w:type="pct"/>
            <w:shd w:val="clear" w:color="auto" w:fill="auto"/>
            <w:vAlign w:val="center"/>
          </w:tcPr>
          <w:p w:rsidR="00EB730E" w:rsidRPr="009842B2" w:rsidRDefault="00EB730E" w:rsidP="009842B2">
            <w:pPr>
              <w:spacing w:after="120"/>
              <w:jc w:val="center"/>
              <w:rPr>
                <w:rFonts w:eastAsia="Calibri"/>
                <w:b/>
                <w:bCs/>
                <w:color w:val="010000"/>
                <w:szCs w:val="22"/>
              </w:rPr>
            </w:pPr>
          </w:p>
        </w:tc>
        <w:tc>
          <w:tcPr>
            <w:tcW w:w="1346"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Toplam</w:t>
            </w:r>
          </w:p>
        </w:tc>
        <w:tc>
          <w:tcPr>
            <w:tcW w:w="1076" w:type="pct"/>
            <w:shd w:val="clear" w:color="auto" w:fill="auto"/>
            <w:vAlign w:val="center"/>
          </w:tcPr>
          <w:p w:rsidR="00EB730E" w:rsidRPr="009842B2" w:rsidRDefault="00EB730E" w:rsidP="009842B2">
            <w:pPr>
              <w:spacing w:after="120"/>
              <w:jc w:val="center"/>
              <w:rPr>
                <w:rFonts w:eastAsia="Calibri"/>
                <w:b/>
                <w:bCs/>
                <w:color w:val="010000"/>
                <w:szCs w:val="22"/>
              </w:rPr>
            </w:pPr>
            <w:r w:rsidRPr="009842B2">
              <w:rPr>
                <w:rFonts w:eastAsia="Calibri"/>
                <w:b/>
                <w:bCs/>
                <w:color w:val="010000"/>
                <w:szCs w:val="22"/>
              </w:rPr>
              <w:t>1.961,30 TL</w:t>
            </w:r>
          </w:p>
        </w:tc>
      </w:tr>
    </w:tbl>
    <w:p w:rsidR="009842B2" w:rsidRDefault="009842B2" w:rsidP="009842B2">
      <w:pPr>
        <w:spacing w:after="200"/>
        <w:ind w:right="283" w:firstLine="709"/>
        <w:jc w:val="both"/>
        <w:rPr>
          <w:color w:val="010000"/>
          <w:shd w:val="clear" w:color="auto" w:fill="FFFFFF"/>
        </w:rPr>
      </w:pPr>
    </w:p>
    <w:p w:rsidR="00EB730E" w:rsidRPr="009842B2" w:rsidRDefault="00EB730E" w:rsidP="009842B2">
      <w:pPr>
        <w:spacing w:after="200"/>
        <w:ind w:right="283" w:firstLine="709"/>
        <w:jc w:val="both"/>
        <w:rPr>
          <w:color w:val="010000"/>
          <w:shd w:val="clear" w:color="auto" w:fill="FFFFFF"/>
        </w:rPr>
      </w:pPr>
      <w:r w:rsidRPr="009842B2">
        <w:rPr>
          <w:color w:val="010000"/>
          <w:shd w:val="clear" w:color="auto" w:fill="FFFFFF"/>
        </w:rPr>
        <w:t>Bu doğrultuda Partiye, gerekli açıklamayı yapması amacıyla 27/5/2024 tarihli ve E-93995552-175.01-24024565 sayılı evrak gönderilmiş, Partiden eksik bilgi ve belgeleri tamamlaması istenmiştir. Ancak ilgili yazıya Parti herhangi bir cevap sunmamış, bilgi ve belge göndermemiştir.</w:t>
      </w:r>
    </w:p>
    <w:p w:rsidR="00EB730E" w:rsidRPr="009842B2" w:rsidRDefault="00EB730E" w:rsidP="009842B2">
      <w:pPr>
        <w:spacing w:after="200"/>
        <w:ind w:right="283" w:firstLine="709"/>
        <w:jc w:val="both"/>
        <w:rPr>
          <w:color w:val="010000"/>
          <w:shd w:val="clear" w:color="auto" w:fill="FFFFFF"/>
        </w:rPr>
      </w:pPr>
      <w:r w:rsidRPr="009842B2">
        <w:rPr>
          <w:color w:val="010000"/>
          <w:shd w:val="clear" w:color="auto" w:fill="FFFFFF"/>
        </w:rPr>
        <w:t xml:space="preserve">2820 sayılı Kanun’un 70. maddesinde; </w:t>
      </w:r>
    </w:p>
    <w:p w:rsidR="00EB730E" w:rsidRPr="009842B2" w:rsidRDefault="00EB730E" w:rsidP="009842B2">
      <w:pPr>
        <w:spacing w:after="200"/>
        <w:ind w:right="283" w:firstLine="709"/>
        <w:jc w:val="both"/>
        <w:rPr>
          <w:i/>
          <w:color w:val="010000"/>
          <w:shd w:val="clear" w:color="auto" w:fill="FFFFFF"/>
        </w:rPr>
      </w:pPr>
      <w:r w:rsidRPr="009842B2">
        <w:rPr>
          <w:color w:val="010000"/>
          <w:shd w:val="clear" w:color="auto" w:fill="FFFFFF"/>
        </w:rPr>
        <w:t>“</w:t>
      </w:r>
      <w:r w:rsidRPr="009842B2">
        <w:rPr>
          <w:i/>
          <w:color w:val="010000"/>
          <w:shd w:val="clear" w:color="auto" w:fill="FFFFFF"/>
        </w:rPr>
        <w:t>Siyasi partilerin giderleri amaçlarına aykırı olamaz. Bir siyasi partinin bütün giderleri, o siyasi parti tüzelkişiliği adına yapılır.</w:t>
      </w:r>
      <w:r w:rsidRPr="009842B2">
        <w:rPr>
          <w:color w:val="010000"/>
          <w:shd w:val="clear" w:color="auto" w:fill="FFFFFF"/>
        </w:rPr>
        <w:t xml:space="preserve"> </w:t>
      </w:r>
      <w:r w:rsidRPr="009842B2">
        <w:rPr>
          <w:i/>
          <w:color w:val="010000"/>
          <w:shd w:val="clear" w:color="auto" w:fill="FFFFFF"/>
        </w:rPr>
        <w:t xml:space="preserve">Beş milyon liraya kadar harcamaların makbuz veya fatura gibi bir belge ile tevsik edilmesi zorunlu değildir. Ancak, bütün harcamaların yetkili organ veya merciin kararına dayanması şarttır. Şu kadar ki, yetkili organca onaylanan bütçede öngörülmüş bulunmak kaydıyla </w:t>
      </w:r>
      <w:proofErr w:type="spellStart"/>
      <w:r w:rsidRPr="009842B2">
        <w:rPr>
          <w:i/>
          <w:color w:val="010000"/>
          <w:shd w:val="clear" w:color="auto" w:fill="FFFFFF"/>
        </w:rPr>
        <w:t>beşmilyon</w:t>
      </w:r>
      <w:proofErr w:type="spellEnd"/>
      <w:r w:rsidRPr="009842B2">
        <w:rPr>
          <w:i/>
          <w:color w:val="010000"/>
          <w:shd w:val="clear" w:color="auto" w:fill="FFFFFF"/>
        </w:rPr>
        <w:t xml:space="preserve"> lirayı aşmayan harcamalar ile genel tarifeye bağlı giderler için ayrıca karar alınmasına gerek yoktur. Giderlere ait belgeleri saklama süresi, özel kanunlarda gösterilen daha uzun süreye ilişkin hükümler saklı kalmak üzere, kesin hesabın Anayasa Mahkemesinin ilk inceleme kararının ilgili partiye bildirilme tarihinden itibaren beş </w:t>
      </w:r>
      <w:proofErr w:type="gramStart"/>
      <w:r w:rsidRPr="009842B2">
        <w:rPr>
          <w:i/>
          <w:color w:val="010000"/>
          <w:shd w:val="clear" w:color="auto" w:fill="FFFFFF"/>
        </w:rPr>
        <w:t>yıldır.(</w:t>
      </w:r>
      <w:proofErr w:type="gramEnd"/>
      <w:r w:rsidRPr="009842B2">
        <w:rPr>
          <w:i/>
          <w:color w:val="010000"/>
          <w:shd w:val="clear" w:color="auto" w:fill="FFFFFF"/>
        </w:rPr>
        <w:t>…)</w:t>
      </w:r>
      <w:r w:rsidRPr="009842B2">
        <w:rPr>
          <w:color w:val="010000"/>
          <w:shd w:val="clear" w:color="auto" w:fill="FFFFFF"/>
        </w:rPr>
        <w:t>”;</w:t>
      </w:r>
    </w:p>
    <w:p w:rsidR="00EB730E" w:rsidRPr="009842B2" w:rsidRDefault="00EB730E" w:rsidP="009842B2">
      <w:pPr>
        <w:spacing w:after="200"/>
        <w:ind w:right="283" w:firstLine="709"/>
        <w:jc w:val="both"/>
        <w:rPr>
          <w:color w:val="010000"/>
          <w:shd w:val="clear" w:color="auto" w:fill="FFFFFF"/>
        </w:rPr>
      </w:pPr>
      <w:r w:rsidRPr="009842B2">
        <w:rPr>
          <w:color w:val="010000"/>
          <w:shd w:val="clear" w:color="auto" w:fill="FFFFFF"/>
        </w:rPr>
        <w:t>74. maddesinin altıncı fıkrasında;</w:t>
      </w:r>
    </w:p>
    <w:p w:rsidR="00EB730E" w:rsidRPr="009842B2" w:rsidRDefault="00EB730E" w:rsidP="009842B2">
      <w:pPr>
        <w:spacing w:after="200"/>
        <w:ind w:right="283" w:firstLine="709"/>
        <w:jc w:val="both"/>
        <w:rPr>
          <w:i/>
          <w:color w:val="010000"/>
          <w:shd w:val="clear" w:color="auto" w:fill="FFFFFF"/>
        </w:rPr>
      </w:pPr>
      <w:r w:rsidRPr="009842B2">
        <w:rPr>
          <w:color w:val="010000"/>
          <w:shd w:val="clear" w:color="auto" w:fill="FFFFFF"/>
        </w:rPr>
        <w:t>“</w:t>
      </w:r>
      <w:r w:rsidRPr="009842B2">
        <w:rPr>
          <w:i/>
          <w:color w:val="010000"/>
          <w:shd w:val="clear" w:color="auto" w:fill="FFFFFF"/>
        </w:rPr>
        <w:t>Siyasi partiler harcamalarını fatura, fatura yerine geçen belgeler ile bu belgelerin temin edilmesinin mümkün olmadığı hallerde harcamanın doğruluğunu gösterecek muhtevaya sahip olmak şartıyla diğer belgelerle tevsik ederler.</w:t>
      </w:r>
      <w:r w:rsidRPr="009842B2">
        <w:rPr>
          <w:color w:val="010000"/>
          <w:shd w:val="clear" w:color="auto" w:fill="FFFFFF"/>
        </w:rPr>
        <w:t>”,</w:t>
      </w:r>
    </w:p>
    <w:p w:rsidR="00EB730E" w:rsidRPr="009842B2" w:rsidRDefault="00EB730E" w:rsidP="009842B2">
      <w:pPr>
        <w:spacing w:after="200"/>
        <w:ind w:right="283" w:firstLine="709"/>
        <w:jc w:val="both"/>
        <w:rPr>
          <w:i/>
          <w:color w:val="010000"/>
          <w:shd w:val="clear" w:color="auto" w:fill="FFFFFF"/>
        </w:rPr>
      </w:pPr>
      <w:r w:rsidRPr="009842B2">
        <w:rPr>
          <w:color w:val="010000"/>
          <w:shd w:val="clear" w:color="auto" w:fill="FFFFFF"/>
        </w:rPr>
        <w:t>75. maddesinde de;</w:t>
      </w:r>
      <w:r w:rsidRPr="009842B2">
        <w:rPr>
          <w:i/>
          <w:color w:val="010000"/>
          <w:shd w:val="clear" w:color="auto" w:fill="FFFFFF"/>
        </w:rPr>
        <w:t xml:space="preserve"> </w:t>
      </w:r>
    </w:p>
    <w:p w:rsidR="00EB730E" w:rsidRPr="009842B2" w:rsidRDefault="00EB730E" w:rsidP="009842B2">
      <w:pPr>
        <w:spacing w:after="200"/>
        <w:ind w:right="283" w:firstLine="709"/>
        <w:jc w:val="both"/>
        <w:rPr>
          <w:i/>
          <w:color w:val="010000"/>
          <w:shd w:val="clear" w:color="auto" w:fill="FFFFFF"/>
        </w:rPr>
      </w:pPr>
      <w:r w:rsidRPr="009842B2">
        <w:rPr>
          <w:color w:val="010000"/>
          <w:shd w:val="clear" w:color="auto" w:fill="FFFFFF"/>
        </w:rPr>
        <w:t>“</w:t>
      </w:r>
      <w:r w:rsidRPr="009842B2">
        <w:rPr>
          <w:i/>
          <w:color w:val="010000"/>
          <w:shd w:val="clear" w:color="auto" w:fill="FFFFFF"/>
        </w:rPr>
        <w:t>Anayasa Mahkemesi, kesin hesaplara ait bilgilerin belgelendirilmesini siyasi partilerden her zaman isteyebilir. Anayasa Mahkemesi denetimini evrak üzerinde yapar. (…) Anayasa Mahkemesi denetimi sonunda, o siyasi partinin gelir ve giderlerinin doğruluğuna ve kanuna uygunluğuna veya kanuna uygun olmayan gelirler ile giderler dolayısıyla da bunların Hazineye gelir kaydedilmesine karar verir. (…)</w:t>
      </w:r>
      <w:r w:rsidRPr="009842B2">
        <w:rPr>
          <w:color w:val="010000"/>
          <w:shd w:val="clear" w:color="auto" w:fill="FFFFFF"/>
        </w:rPr>
        <w:t>”,</w:t>
      </w:r>
    </w:p>
    <w:p w:rsidR="00EB730E" w:rsidRPr="009842B2" w:rsidRDefault="00EB730E" w:rsidP="009842B2">
      <w:pPr>
        <w:spacing w:after="200"/>
        <w:ind w:right="283" w:firstLine="709"/>
        <w:jc w:val="both"/>
        <w:rPr>
          <w:color w:val="010000"/>
          <w:shd w:val="clear" w:color="auto" w:fill="FFFFFF"/>
        </w:rPr>
      </w:pPr>
      <w:r w:rsidRPr="009842B2">
        <w:rPr>
          <w:i/>
          <w:color w:val="010000"/>
          <w:shd w:val="clear" w:color="auto" w:fill="FFFFFF"/>
        </w:rPr>
        <w:t xml:space="preserve"> </w:t>
      </w:r>
      <w:proofErr w:type="gramStart"/>
      <w:r w:rsidRPr="009842B2">
        <w:rPr>
          <w:color w:val="010000"/>
          <w:shd w:val="clear" w:color="auto" w:fill="FFFFFF"/>
        </w:rPr>
        <w:t>hükümlerine</w:t>
      </w:r>
      <w:proofErr w:type="gramEnd"/>
      <w:r w:rsidRPr="009842B2">
        <w:rPr>
          <w:color w:val="010000"/>
          <w:shd w:val="clear" w:color="auto" w:fill="FFFFFF"/>
        </w:rPr>
        <w:t xml:space="preserve"> yer verilmiştir</w:t>
      </w:r>
    </w:p>
    <w:p w:rsidR="00EB730E" w:rsidRPr="009842B2" w:rsidRDefault="00EB730E" w:rsidP="009842B2">
      <w:pPr>
        <w:spacing w:after="200"/>
        <w:ind w:right="283" w:firstLine="709"/>
        <w:jc w:val="both"/>
        <w:rPr>
          <w:i/>
          <w:color w:val="010000"/>
          <w:shd w:val="clear" w:color="auto" w:fill="FFFFFF"/>
        </w:rPr>
      </w:pPr>
      <w:r w:rsidRPr="009842B2">
        <w:rPr>
          <w:i/>
          <w:color w:val="010000"/>
          <w:shd w:val="clear" w:color="auto" w:fill="FFFFFF"/>
        </w:rPr>
        <w:t xml:space="preserve"> </w:t>
      </w:r>
      <w:r w:rsidRPr="009842B2">
        <w:rPr>
          <w:color w:val="010000"/>
          <w:shd w:val="clear" w:color="auto" w:fill="FFFFFF"/>
        </w:rPr>
        <w:t>Kanun’un 76. maddesinde de belgelendirilmesi gerektiği hâlde belgelendirilmeyen Parti giderleri miktarınca Parti mal varlığının, Anayasa Mahkemesi kararıyla Hazineye irat kaydedileceği kurala bağlanmıştır.</w:t>
      </w:r>
    </w:p>
    <w:p w:rsidR="00EB730E" w:rsidRPr="009842B2" w:rsidRDefault="00EB730E" w:rsidP="009842B2">
      <w:pPr>
        <w:spacing w:after="200"/>
        <w:ind w:right="283" w:firstLine="709"/>
        <w:jc w:val="both"/>
        <w:rPr>
          <w:color w:val="010000"/>
          <w:shd w:val="clear" w:color="auto" w:fill="FFFFFF"/>
        </w:rPr>
      </w:pPr>
      <w:r w:rsidRPr="009842B2">
        <w:rPr>
          <w:color w:val="010000"/>
          <w:shd w:val="clear" w:color="auto" w:fill="FFFFFF"/>
        </w:rPr>
        <w:lastRenderedPageBreak/>
        <w:t>Bu itibarla Parti tarafından gider olarak gösterilen ancak herhangi bir kanıtlayıcı belge ile tevsik edilmeyen tutarların tamamı olan 3.136,30 TL’nin 2820 sayılı Kanun’un 75. ve 76. maddeleri uyarınca Hazineye irat kaydedilmesi gerekir.</w:t>
      </w:r>
    </w:p>
    <w:p w:rsidR="00EB730E" w:rsidRPr="009842B2" w:rsidRDefault="00EB730E" w:rsidP="009842B2">
      <w:pPr>
        <w:spacing w:after="200"/>
        <w:ind w:right="283" w:firstLine="709"/>
        <w:jc w:val="both"/>
        <w:rPr>
          <w:b/>
          <w:color w:val="010000"/>
          <w:shd w:val="clear" w:color="auto" w:fill="FFFFFF"/>
        </w:rPr>
      </w:pPr>
      <w:r w:rsidRPr="009842B2">
        <w:rPr>
          <w:b/>
          <w:color w:val="010000"/>
          <w:shd w:val="clear" w:color="auto" w:fill="FFFFFF"/>
        </w:rPr>
        <w:t>2. İl Örgütleri Giderleri</w:t>
      </w:r>
    </w:p>
    <w:p w:rsidR="00EB730E" w:rsidRPr="009842B2" w:rsidRDefault="00EB730E" w:rsidP="009842B2">
      <w:pPr>
        <w:spacing w:after="200"/>
        <w:ind w:right="283" w:firstLine="709"/>
        <w:jc w:val="both"/>
        <w:rPr>
          <w:color w:val="010000"/>
          <w:shd w:val="clear" w:color="auto" w:fill="FFFFFF"/>
        </w:rPr>
      </w:pPr>
      <w:r w:rsidRPr="009842B2">
        <w:rPr>
          <w:color w:val="010000"/>
          <w:shd w:val="clear" w:color="auto" w:fill="FFFFFF"/>
        </w:rPr>
        <w:t>1</w:t>
      </w:r>
      <w:r w:rsidR="00323DA2" w:rsidRPr="009842B2">
        <w:rPr>
          <w:color w:val="010000"/>
          <w:shd w:val="clear" w:color="auto" w:fill="FFFFFF"/>
        </w:rPr>
        <w:t>4</w:t>
      </w:r>
      <w:r w:rsidRPr="009842B2">
        <w:rPr>
          <w:color w:val="010000"/>
          <w:shd w:val="clear" w:color="auto" w:fill="FFFFFF"/>
        </w:rPr>
        <w:t>. Partinin il örgütlerinin giderleri toplamı 1.100 TL olup bu tutarın tamamı kira giderlerinden oluşmaktadır.</w:t>
      </w:r>
      <w:r w:rsidRPr="009842B2">
        <w:rPr>
          <w:color w:val="010000"/>
        </w:rPr>
        <w:t xml:space="preserve"> </w:t>
      </w:r>
    </w:p>
    <w:p w:rsidR="00EB730E" w:rsidRPr="009842B2" w:rsidRDefault="00EB730E" w:rsidP="009842B2">
      <w:pPr>
        <w:spacing w:after="200"/>
        <w:ind w:right="283" w:firstLine="709"/>
        <w:jc w:val="both"/>
        <w:rPr>
          <w:color w:val="010000"/>
          <w:shd w:val="clear" w:color="auto" w:fill="FFFFFF"/>
        </w:rPr>
      </w:pPr>
      <w:r w:rsidRPr="009842B2">
        <w:rPr>
          <w:color w:val="010000"/>
          <w:shd w:val="clear" w:color="auto" w:fill="FFFFFF"/>
        </w:rPr>
        <w:t>1</w:t>
      </w:r>
      <w:r w:rsidR="00323DA2" w:rsidRPr="009842B2">
        <w:rPr>
          <w:color w:val="010000"/>
          <w:shd w:val="clear" w:color="auto" w:fill="FFFFFF"/>
        </w:rPr>
        <w:t>5</w:t>
      </w:r>
      <w:r w:rsidRPr="009842B2">
        <w:rPr>
          <w:color w:val="010000"/>
          <w:shd w:val="clear" w:color="auto" w:fill="FFFFFF"/>
        </w:rPr>
        <w:t>. Parti il örgütlerinin defter kayıtları ve gider belgeleri üzerinde yapılan inceleme neticesinde giderlerin 2820 sayılı Kanun’a uygun olarak gerçekleştirildiği sonucuna varılmıştır.</w:t>
      </w:r>
    </w:p>
    <w:p w:rsidR="00EB730E" w:rsidRPr="009842B2" w:rsidRDefault="00EB730E" w:rsidP="009842B2">
      <w:pPr>
        <w:spacing w:after="200"/>
        <w:ind w:right="283" w:firstLine="709"/>
        <w:jc w:val="both"/>
        <w:rPr>
          <w:b/>
          <w:color w:val="010000"/>
          <w:shd w:val="clear" w:color="auto" w:fill="FFFFFF"/>
        </w:rPr>
      </w:pPr>
      <w:r w:rsidRPr="009842B2">
        <w:rPr>
          <w:b/>
          <w:color w:val="010000"/>
          <w:shd w:val="clear" w:color="auto" w:fill="FFFFFF"/>
        </w:rPr>
        <w:t>C. Parti Mallarının İncelenmesi</w:t>
      </w:r>
    </w:p>
    <w:p w:rsidR="00EB730E" w:rsidRPr="009842B2" w:rsidRDefault="00EB730E" w:rsidP="009842B2">
      <w:pPr>
        <w:spacing w:after="200"/>
        <w:ind w:right="283" w:firstLine="709"/>
        <w:jc w:val="both"/>
        <w:rPr>
          <w:color w:val="010000"/>
          <w:shd w:val="clear" w:color="auto" w:fill="FFFFFF"/>
        </w:rPr>
      </w:pPr>
      <w:r w:rsidRPr="009842B2">
        <w:rPr>
          <w:color w:val="010000"/>
          <w:shd w:val="clear" w:color="auto" w:fill="FFFFFF"/>
        </w:rPr>
        <w:t>1</w:t>
      </w:r>
      <w:r w:rsidR="00323DA2" w:rsidRPr="009842B2">
        <w:rPr>
          <w:color w:val="010000"/>
          <w:shd w:val="clear" w:color="auto" w:fill="FFFFFF"/>
        </w:rPr>
        <w:t>6</w:t>
      </w:r>
      <w:r w:rsidRPr="009842B2">
        <w:rPr>
          <w:color w:val="010000"/>
          <w:shd w:val="clear" w:color="auto" w:fill="FFFFFF"/>
        </w:rPr>
        <w:t>. Yurt Partisinin 2021 yılı defter ve belgeleri üzerinde yapılan incelemede, herhangi bir taşınır ve taşınmaz mal ile menkul kıymet ediniminin olmadığı anlaşılmıştır.</w:t>
      </w:r>
    </w:p>
    <w:p w:rsidR="00EB730E" w:rsidRPr="009842B2" w:rsidRDefault="00EB730E" w:rsidP="009842B2">
      <w:pPr>
        <w:spacing w:after="200"/>
        <w:ind w:right="283" w:firstLine="709"/>
        <w:jc w:val="both"/>
        <w:rPr>
          <w:b/>
          <w:color w:val="010000"/>
          <w:shd w:val="clear" w:color="auto" w:fill="FFFFFF"/>
        </w:rPr>
      </w:pPr>
      <w:r w:rsidRPr="009842B2">
        <w:rPr>
          <w:b/>
          <w:color w:val="010000"/>
          <w:shd w:val="clear" w:color="auto" w:fill="FFFFFF"/>
        </w:rPr>
        <w:t>IV. SONUÇ</w:t>
      </w:r>
    </w:p>
    <w:p w:rsidR="00EB730E" w:rsidRPr="009842B2" w:rsidRDefault="00EB730E" w:rsidP="009842B2">
      <w:pPr>
        <w:spacing w:after="200"/>
        <w:ind w:right="283" w:firstLine="709"/>
        <w:jc w:val="both"/>
        <w:rPr>
          <w:color w:val="010000"/>
          <w:shd w:val="clear" w:color="auto" w:fill="FFFFFF"/>
        </w:rPr>
      </w:pPr>
      <w:r w:rsidRPr="009842B2">
        <w:rPr>
          <w:color w:val="010000"/>
          <w:shd w:val="clear" w:color="auto" w:fill="FFFFFF"/>
        </w:rPr>
        <w:t>Yurt Partisinin 2021 yılı kesin hesabının incelenmesi sonucunda;</w:t>
      </w:r>
      <w:r w:rsidR="009842B2" w:rsidRPr="009842B2">
        <w:rPr>
          <w:color w:val="010000"/>
          <w:shd w:val="clear" w:color="auto" w:fill="FFFFFF"/>
        </w:rPr>
        <w:t xml:space="preserve"> </w:t>
      </w:r>
    </w:p>
    <w:p w:rsidR="00EB730E" w:rsidRPr="009842B2" w:rsidRDefault="00EB730E" w:rsidP="009842B2">
      <w:pPr>
        <w:pStyle w:val="ListeParagraf"/>
        <w:spacing w:after="200"/>
        <w:ind w:left="0" w:right="283" w:firstLine="709"/>
        <w:contextualSpacing w:val="0"/>
        <w:jc w:val="both"/>
        <w:rPr>
          <w:color w:val="010000"/>
          <w:shd w:val="clear" w:color="auto" w:fill="FFFFFF"/>
        </w:rPr>
      </w:pPr>
      <w:r w:rsidRPr="009842B2">
        <w:rPr>
          <w:b/>
          <w:color w:val="010000"/>
          <w:shd w:val="clear" w:color="auto" w:fill="FFFFFF"/>
        </w:rPr>
        <w:t>A.</w:t>
      </w:r>
      <w:r w:rsidRPr="009842B2">
        <w:rPr>
          <w:color w:val="010000"/>
          <w:shd w:val="clear" w:color="auto" w:fill="FFFFFF"/>
        </w:rPr>
        <w:t xml:space="preserve"> Kanun’a uygun olmayan 7.000 TL gelir ve 3.136,30 TL gider olmak üzere toplam 10.136,30 TL karşılığı Parti mal varlığının 2820 sayılı Kanun’un 75. ve 76. maddeleri uyarınca Hazineye irat kaydedilmesine,</w:t>
      </w:r>
      <w:r w:rsidR="009842B2" w:rsidRPr="009842B2">
        <w:rPr>
          <w:color w:val="010000"/>
          <w:shd w:val="clear" w:color="auto" w:fill="FFFFFF"/>
        </w:rPr>
        <w:t xml:space="preserve"> </w:t>
      </w:r>
    </w:p>
    <w:p w:rsidR="00EB730E" w:rsidRPr="009842B2" w:rsidRDefault="00EB730E" w:rsidP="009842B2">
      <w:pPr>
        <w:pStyle w:val="ListeParagraf"/>
        <w:spacing w:after="200"/>
        <w:ind w:left="0" w:right="283" w:firstLine="709"/>
        <w:contextualSpacing w:val="0"/>
        <w:jc w:val="both"/>
        <w:rPr>
          <w:color w:val="010000"/>
          <w:shd w:val="clear" w:color="auto" w:fill="FFFFFF"/>
        </w:rPr>
      </w:pPr>
      <w:r w:rsidRPr="009842B2">
        <w:rPr>
          <w:b/>
          <w:color w:val="010000"/>
          <w:shd w:val="clear" w:color="auto" w:fill="FFFFFF"/>
        </w:rPr>
        <w:t>B.</w:t>
      </w:r>
      <w:r w:rsidRPr="009842B2">
        <w:rPr>
          <w:color w:val="010000"/>
          <w:shd w:val="clear" w:color="auto" w:fill="FFFFFF"/>
        </w:rPr>
        <w:t xml:space="preserve"> Partinin 2021 yılı kesin hesabında gösterilen 54.050 TL gelir, 1.785,18 TL bir önceki yıldan devreden nakit toplamı ile 47.498,55 TL gider, 8.336,63 TL gelecek yıla devreden nakit toplamından Hazineye gelir kaydedilmesi gerektiği değerlendirilenler dışında kalan bölümün eldeki bilgi ve belgelere göre doğru ve </w:t>
      </w:r>
      <w:r w:rsidRPr="009842B2">
        <w:rPr>
          <w:color w:val="010000"/>
        </w:rPr>
        <w:t xml:space="preserve">22/4/1983 tarihli ve </w:t>
      </w:r>
      <w:r w:rsidRPr="009842B2">
        <w:rPr>
          <w:color w:val="010000"/>
          <w:shd w:val="clear" w:color="auto" w:fill="FFFFFF"/>
        </w:rPr>
        <w:t>2820 sayılı Siyasi Partiler Kanunu’na uygun olduğuna,</w:t>
      </w:r>
    </w:p>
    <w:p w:rsidR="00EB730E" w:rsidRPr="009842B2" w:rsidRDefault="00EB730E" w:rsidP="009842B2">
      <w:pPr>
        <w:pStyle w:val="ListeParagraf"/>
        <w:spacing w:after="200"/>
        <w:ind w:left="0" w:right="283" w:firstLine="709"/>
        <w:contextualSpacing w:val="0"/>
        <w:jc w:val="both"/>
        <w:rPr>
          <w:color w:val="010000"/>
          <w:shd w:val="clear" w:color="auto" w:fill="FFFFFF"/>
        </w:rPr>
      </w:pPr>
      <w:r w:rsidRPr="009842B2">
        <w:rPr>
          <w:color w:val="010000"/>
          <w:shd w:val="clear" w:color="auto" w:fill="FFFFFF"/>
        </w:rPr>
        <w:t>25/12/2025 tarihinde OYBİRLİĞİYLE karar verildi.</w:t>
      </w:r>
    </w:p>
    <w:p w:rsidR="009842B2" w:rsidRDefault="009842B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B730E" w:rsidRPr="009842B2" w:rsidTr="009842B2">
        <w:trPr>
          <w:trHeight w:val="1600"/>
          <w:jc w:val="center"/>
        </w:trPr>
        <w:tc>
          <w:tcPr>
            <w:tcW w:w="1642" w:type="pct"/>
            <w:vAlign w:val="center"/>
            <w:hideMark/>
          </w:tcPr>
          <w:p w:rsidR="00EB730E" w:rsidRPr="009842B2" w:rsidRDefault="00EB730E" w:rsidP="009842B2">
            <w:pPr>
              <w:spacing w:after="120"/>
              <w:jc w:val="center"/>
              <w:rPr>
                <w:color w:val="010000"/>
              </w:rPr>
            </w:pPr>
            <w:r w:rsidRPr="009842B2">
              <w:rPr>
                <w:color w:val="010000"/>
              </w:rPr>
              <w:t>Başkan</w:t>
            </w:r>
          </w:p>
          <w:p w:rsidR="00EB730E" w:rsidRPr="009842B2" w:rsidRDefault="00EB730E" w:rsidP="009842B2">
            <w:pPr>
              <w:spacing w:after="120"/>
              <w:jc w:val="center"/>
              <w:rPr>
                <w:color w:val="010000"/>
              </w:rPr>
            </w:pPr>
            <w:r w:rsidRPr="009842B2">
              <w:rPr>
                <w:color w:val="010000"/>
              </w:rPr>
              <w:t>Kadir ÖZKAYA</w:t>
            </w:r>
          </w:p>
        </w:tc>
        <w:tc>
          <w:tcPr>
            <w:tcW w:w="1679" w:type="pct"/>
            <w:vAlign w:val="center"/>
            <w:hideMark/>
          </w:tcPr>
          <w:p w:rsidR="00EB730E" w:rsidRPr="009842B2" w:rsidRDefault="00EB730E" w:rsidP="009842B2">
            <w:pPr>
              <w:spacing w:after="120"/>
              <w:jc w:val="center"/>
              <w:rPr>
                <w:color w:val="010000"/>
              </w:rPr>
            </w:pPr>
            <w:r w:rsidRPr="009842B2">
              <w:rPr>
                <w:color w:val="010000"/>
              </w:rPr>
              <w:t>Başkanvekili</w:t>
            </w:r>
          </w:p>
          <w:p w:rsidR="00EB730E" w:rsidRPr="009842B2" w:rsidRDefault="00EB730E" w:rsidP="009842B2">
            <w:pPr>
              <w:spacing w:after="120"/>
              <w:jc w:val="center"/>
              <w:rPr>
                <w:color w:val="010000"/>
              </w:rPr>
            </w:pPr>
            <w:r w:rsidRPr="009842B2">
              <w:rPr>
                <w:color w:val="010000"/>
              </w:rPr>
              <w:t>Hasan Tahsin GÖKCAN</w:t>
            </w:r>
          </w:p>
        </w:tc>
        <w:tc>
          <w:tcPr>
            <w:tcW w:w="1679" w:type="pct"/>
            <w:vAlign w:val="center"/>
            <w:hideMark/>
          </w:tcPr>
          <w:p w:rsidR="00EB730E" w:rsidRPr="009842B2" w:rsidRDefault="00EB730E" w:rsidP="009842B2">
            <w:pPr>
              <w:spacing w:after="120"/>
              <w:jc w:val="center"/>
              <w:rPr>
                <w:color w:val="010000"/>
              </w:rPr>
            </w:pPr>
            <w:r w:rsidRPr="009842B2">
              <w:rPr>
                <w:color w:val="010000"/>
              </w:rPr>
              <w:t xml:space="preserve">Başkanvekili </w:t>
            </w:r>
          </w:p>
          <w:p w:rsidR="00EB730E" w:rsidRPr="009842B2" w:rsidRDefault="00EB730E" w:rsidP="009842B2">
            <w:pPr>
              <w:spacing w:after="120"/>
              <w:jc w:val="center"/>
              <w:rPr>
                <w:color w:val="010000"/>
              </w:rPr>
            </w:pPr>
            <w:r w:rsidRPr="009842B2">
              <w:rPr>
                <w:color w:val="010000"/>
              </w:rPr>
              <w:t>Basri BAĞCI</w:t>
            </w:r>
          </w:p>
        </w:tc>
      </w:tr>
      <w:tr w:rsidR="00EB730E" w:rsidRPr="009842B2" w:rsidTr="009842B2">
        <w:trPr>
          <w:trHeight w:val="1600"/>
          <w:jc w:val="center"/>
        </w:trPr>
        <w:tc>
          <w:tcPr>
            <w:tcW w:w="1642" w:type="pct"/>
            <w:vAlign w:val="center"/>
            <w:hideMark/>
          </w:tcPr>
          <w:p w:rsidR="00EB730E" w:rsidRPr="009842B2" w:rsidRDefault="00EB730E" w:rsidP="009842B2">
            <w:pPr>
              <w:spacing w:after="120"/>
              <w:jc w:val="center"/>
              <w:rPr>
                <w:color w:val="010000"/>
              </w:rPr>
            </w:pPr>
            <w:r w:rsidRPr="009842B2">
              <w:rPr>
                <w:color w:val="010000"/>
              </w:rPr>
              <w:t xml:space="preserve">Üye </w:t>
            </w:r>
          </w:p>
          <w:p w:rsidR="00EB730E" w:rsidRPr="009842B2" w:rsidRDefault="00EB730E" w:rsidP="009842B2">
            <w:pPr>
              <w:spacing w:after="120"/>
              <w:jc w:val="center"/>
              <w:rPr>
                <w:color w:val="010000"/>
              </w:rPr>
            </w:pPr>
            <w:r w:rsidRPr="009842B2">
              <w:rPr>
                <w:color w:val="010000"/>
              </w:rPr>
              <w:t>Engin YILDIRIM</w:t>
            </w:r>
          </w:p>
        </w:tc>
        <w:tc>
          <w:tcPr>
            <w:tcW w:w="1679" w:type="pct"/>
            <w:vAlign w:val="center"/>
            <w:hideMark/>
          </w:tcPr>
          <w:p w:rsidR="00EB730E" w:rsidRPr="009842B2" w:rsidRDefault="00EB730E" w:rsidP="009842B2">
            <w:pPr>
              <w:spacing w:after="120"/>
              <w:jc w:val="center"/>
              <w:rPr>
                <w:color w:val="010000"/>
              </w:rPr>
            </w:pPr>
            <w:r w:rsidRPr="009842B2">
              <w:rPr>
                <w:color w:val="010000"/>
              </w:rPr>
              <w:t>Üye</w:t>
            </w:r>
          </w:p>
          <w:p w:rsidR="00EB730E" w:rsidRPr="009842B2" w:rsidRDefault="00EB730E" w:rsidP="009842B2">
            <w:pPr>
              <w:spacing w:after="120"/>
              <w:jc w:val="center"/>
              <w:rPr>
                <w:color w:val="010000"/>
              </w:rPr>
            </w:pPr>
            <w:r w:rsidRPr="009842B2">
              <w:rPr>
                <w:color w:val="010000"/>
              </w:rPr>
              <w:t>Rıdvan GÜLEÇ</w:t>
            </w:r>
            <w:bookmarkStart w:id="0" w:name="_GoBack"/>
            <w:bookmarkEnd w:id="0"/>
          </w:p>
        </w:tc>
        <w:tc>
          <w:tcPr>
            <w:tcW w:w="1679" w:type="pct"/>
            <w:vAlign w:val="center"/>
            <w:hideMark/>
          </w:tcPr>
          <w:p w:rsidR="00EB730E" w:rsidRPr="009842B2" w:rsidRDefault="00EB730E" w:rsidP="009842B2">
            <w:pPr>
              <w:spacing w:after="120"/>
              <w:jc w:val="center"/>
              <w:rPr>
                <w:color w:val="010000"/>
              </w:rPr>
            </w:pPr>
            <w:r w:rsidRPr="009842B2">
              <w:rPr>
                <w:color w:val="010000"/>
              </w:rPr>
              <w:t>Üye</w:t>
            </w:r>
          </w:p>
          <w:p w:rsidR="00EB730E" w:rsidRPr="009842B2" w:rsidRDefault="00EB730E" w:rsidP="009842B2">
            <w:pPr>
              <w:spacing w:after="120"/>
              <w:jc w:val="center"/>
              <w:rPr>
                <w:color w:val="010000"/>
              </w:rPr>
            </w:pPr>
            <w:r w:rsidRPr="009842B2">
              <w:rPr>
                <w:bCs/>
                <w:color w:val="010000"/>
              </w:rPr>
              <w:t>Recai AKYEL</w:t>
            </w:r>
          </w:p>
        </w:tc>
      </w:tr>
      <w:tr w:rsidR="00EB730E" w:rsidRPr="009842B2" w:rsidTr="009842B2">
        <w:trPr>
          <w:trHeight w:val="1600"/>
          <w:jc w:val="center"/>
        </w:trPr>
        <w:tc>
          <w:tcPr>
            <w:tcW w:w="1642" w:type="pct"/>
            <w:vAlign w:val="center"/>
            <w:hideMark/>
          </w:tcPr>
          <w:p w:rsidR="00EB730E" w:rsidRPr="009842B2" w:rsidRDefault="00EB730E" w:rsidP="009842B2">
            <w:pPr>
              <w:spacing w:after="120"/>
              <w:jc w:val="center"/>
              <w:rPr>
                <w:color w:val="010000"/>
              </w:rPr>
            </w:pPr>
            <w:r w:rsidRPr="009842B2">
              <w:rPr>
                <w:color w:val="010000"/>
              </w:rPr>
              <w:t xml:space="preserve">Üye </w:t>
            </w:r>
          </w:p>
          <w:p w:rsidR="00EB730E" w:rsidRPr="009842B2" w:rsidRDefault="00EB730E" w:rsidP="009842B2">
            <w:pPr>
              <w:spacing w:after="120"/>
              <w:jc w:val="center"/>
              <w:rPr>
                <w:color w:val="010000"/>
              </w:rPr>
            </w:pPr>
            <w:r w:rsidRPr="009842B2">
              <w:rPr>
                <w:bCs/>
                <w:color w:val="010000"/>
              </w:rPr>
              <w:t>Yusuf Şevki HAKYEMEZ</w:t>
            </w:r>
          </w:p>
        </w:tc>
        <w:tc>
          <w:tcPr>
            <w:tcW w:w="1679" w:type="pct"/>
            <w:vAlign w:val="center"/>
            <w:hideMark/>
          </w:tcPr>
          <w:p w:rsidR="00EB730E" w:rsidRPr="009842B2" w:rsidRDefault="00EB730E" w:rsidP="009842B2">
            <w:pPr>
              <w:spacing w:after="120"/>
              <w:jc w:val="center"/>
              <w:rPr>
                <w:color w:val="010000"/>
              </w:rPr>
            </w:pPr>
            <w:r w:rsidRPr="009842B2">
              <w:rPr>
                <w:color w:val="010000"/>
              </w:rPr>
              <w:t>Üye</w:t>
            </w:r>
          </w:p>
          <w:p w:rsidR="00EB730E" w:rsidRPr="009842B2" w:rsidRDefault="00EB730E" w:rsidP="009842B2">
            <w:pPr>
              <w:spacing w:after="120"/>
              <w:jc w:val="center"/>
              <w:rPr>
                <w:color w:val="010000"/>
              </w:rPr>
            </w:pPr>
            <w:r w:rsidRPr="009842B2">
              <w:rPr>
                <w:bCs/>
                <w:color w:val="010000"/>
              </w:rPr>
              <w:t>Yıldız SEFERİNOĞLU</w:t>
            </w:r>
          </w:p>
        </w:tc>
        <w:tc>
          <w:tcPr>
            <w:tcW w:w="1679" w:type="pct"/>
            <w:vAlign w:val="center"/>
            <w:hideMark/>
          </w:tcPr>
          <w:p w:rsidR="00EB730E" w:rsidRPr="009842B2" w:rsidRDefault="00EB730E" w:rsidP="009842B2">
            <w:pPr>
              <w:spacing w:after="120"/>
              <w:jc w:val="center"/>
              <w:rPr>
                <w:color w:val="010000"/>
              </w:rPr>
            </w:pPr>
            <w:r w:rsidRPr="009842B2">
              <w:rPr>
                <w:color w:val="010000"/>
              </w:rPr>
              <w:t>Üye</w:t>
            </w:r>
          </w:p>
          <w:p w:rsidR="00EB730E" w:rsidRPr="009842B2" w:rsidRDefault="00EB730E" w:rsidP="009842B2">
            <w:pPr>
              <w:spacing w:after="120"/>
              <w:jc w:val="center"/>
              <w:rPr>
                <w:color w:val="010000"/>
              </w:rPr>
            </w:pPr>
            <w:r w:rsidRPr="009842B2">
              <w:rPr>
                <w:color w:val="010000"/>
              </w:rPr>
              <w:t>Selahaddin MENTEŞ</w:t>
            </w:r>
          </w:p>
        </w:tc>
      </w:tr>
      <w:tr w:rsidR="00EB730E" w:rsidRPr="009842B2" w:rsidTr="009842B2">
        <w:trPr>
          <w:trHeight w:val="1600"/>
          <w:jc w:val="center"/>
        </w:trPr>
        <w:tc>
          <w:tcPr>
            <w:tcW w:w="1642" w:type="pct"/>
            <w:vAlign w:val="center"/>
            <w:hideMark/>
          </w:tcPr>
          <w:p w:rsidR="00EB730E" w:rsidRPr="009842B2" w:rsidRDefault="00EB730E" w:rsidP="009842B2">
            <w:pPr>
              <w:spacing w:after="120"/>
              <w:jc w:val="center"/>
              <w:rPr>
                <w:color w:val="010000"/>
              </w:rPr>
            </w:pPr>
            <w:r w:rsidRPr="009842B2">
              <w:rPr>
                <w:color w:val="010000"/>
              </w:rPr>
              <w:lastRenderedPageBreak/>
              <w:t xml:space="preserve">Üye </w:t>
            </w:r>
          </w:p>
          <w:p w:rsidR="00EB730E" w:rsidRPr="009842B2" w:rsidRDefault="00EB730E" w:rsidP="009842B2">
            <w:pPr>
              <w:spacing w:after="120"/>
              <w:jc w:val="center"/>
              <w:rPr>
                <w:color w:val="010000"/>
              </w:rPr>
            </w:pPr>
            <w:r w:rsidRPr="009842B2">
              <w:rPr>
                <w:bCs/>
                <w:color w:val="010000"/>
              </w:rPr>
              <w:t>İrfan FİDAN</w:t>
            </w:r>
          </w:p>
        </w:tc>
        <w:tc>
          <w:tcPr>
            <w:tcW w:w="1679" w:type="pct"/>
            <w:vAlign w:val="center"/>
            <w:hideMark/>
          </w:tcPr>
          <w:p w:rsidR="00EB730E" w:rsidRPr="009842B2" w:rsidRDefault="00EB730E" w:rsidP="009842B2">
            <w:pPr>
              <w:spacing w:after="120"/>
              <w:jc w:val="center"/>
              <w:rPr>
                <w:color w:val="010000"/>
              </w:rPr>
            </w:pPr>
            <w:r w:rsidRPr="009842B2">
              <w:rPr>
                <w:color w:val="010000"/>
              </w:rPr>
              <w:t>Üye</w:t>
            </w:r>
          </w:p>
          <w:p w:rsidR="00EB730E" w:rsidRPr="009842B2" w:rsidRDefault="00EB730E" w:rsidP="009842B2">
            <w:pPr>
              <w:spacing w:after="120"/>
              <w:jc w:val="center"/>
              <w:rPr>
                <w:color w:val="010000"/>
              </w:rPr>
            </w:pPr>
            <w:r w:rsidRPr="009842B2">
              <w:rPr>
                <w:color w:val="010000"/>
              </w:rPr>
              <w:t>Kenan YAŞAR</w:t>
            </w:r>
          </w:p>
        </w:tc>
        <w:tc>
          <w:tcPr>
            <w:tcW w:w="1679" w:type="pct"/>
            <w:vAlign w:val="center"/>
            <w:hideMark/>
          </w:tcPr>
          <w:p w:rsidR="00EB730E" w:rsidRPr="009842B2" w:rsidRDefault="00EB730E" w:rsidP="009842B2">
            <w:pPr>
              <w:spacing w:after="120"/>
              <w:jc w:val="center"/>
              <w:rPr>
                <w:color w:val="010000"/>
              </w:rPr>
            </w:pPr>
            <w:r w:rsidRPr="009842B2">
              <w:rPr>
                <w:color w:val="010000"/>
              </w:rPr>
              <w:t>Üye</w:t>
            </w:r>
          </w:p>
          <w:p w:rsidR="00EB730E" w:rsidRPr="009842B2" w:rsidRDefault="00EB730E" w:rsidP="009842B2">
            <w:pPr>
              <w:spacing w:after="120"/>
              <w:jc w:val="center"/>
              <w:rPr>
                <w:color w:val="010000"/>
              </w:rPr>
            </w:pPr>
            <w:r w:rsidRPr="009842B2">
              <w:rPr>
                <w:color w:val="010000"/>
              </w:rPr>
              <w:t>Muhterem İNCE</w:t>
            </w:r>
          </w:p>
        </w:tc>
      </w:tr>
      <w:tr w:rsidR="00EB730E" w:rsidRPr="009842B2" w:rsidTr="009842B2">
        <w:trPr>
          <w:trHeight w:val="1600"/>
          <w:jc w:val="center"/>
        </w:trPr>
        <w:tc>
          <w:tcPr>
            <w:tcW w:w="1642" w:type="pct"/>
            <w:vAlign w:val="center"/>
            <w:hideMark/>
          </w:tcPr>
          <w:p w:rsidR="00EB730E" w:rsidRPr="009842B2" w:rsidRDefault="00EB730E" w:rsidP="009842B2">
            <w:pPr>
              <w:spacing w:after="120"/>
              <w:jc w:val="center"/>
              <w:rPr>
                <w:color w:val="010000"/>
              </w:rPr>
            </w:pPr>
            <w:r w:rsidRPr="009842B2">
              <w:rPr>
                <w:color w:val="010000"/>
              </w:rPr>
              <w:t xml:space="preserve">Üye </w:t>
            </w:r>
          </w:p>
          <w:p w:rsidR="00EB730E" w:rsidRPr="009842B2" w:rsidRDefault="00EB730E" w:rsidP="009842B2">
            <w:pPr>
              <w:spacing w:after="120"/>
              <w:jc w:val="center"/>
              <w:rPr>
                <w:color w:val="010000"/>
              </w:rPr>
            </w:pPr>
            <w:r w:rsidRPr="009842B2">
              <w:rPr>
                <w:bCs/>
                <w:color w:val="010000"/>
              </w:rPr>
              <w:t>Yılmaz AKÇİL</w:t>
            </w:r>
          </w:p>
        </w:tc>
        <w:tc>
          <w:tcPr>
            <w:tcW w:w="1679" w:type="pct"/>
            <w:vAlign w:val="center"/>
            <w:hideMark/>
          </w:tcPr>
          <w:p w:rsidR="00EB730E" w:rsidRPr="009842B2" w:rsidRDefault="00EB730E" w:rsidP="009842B2">
            <w:pPr>
              <w:spacing w:after="120"/>
              <w:jc w:val="center"/>
              <w:rPr>
                <w:color w:val="010000"/>
              </w:rPr>
            </w:pPr>
            <w:r w:rsidRPr="009842B2">
              <w:rPr>
                <w:color w:val="010000"/>
              </w:rPr>
              <w:t>Üye</w:t>
            </w:r>
          </w:p>
          <w:p w:rsidR="00EB730E" w:rsidRPr="009842B2" w:rsidRDefault="00EB730E" w:rsidP="009842B2">
            <w:pPr>
              <w:spacing w:after="120"/>
              <w:jc w:val="center"/>
              <w:rPr>
                <w:bCs/>
                <w:color w:val="010000"/>
              </w:rPr>
            </w:pPr>
            <w:r w:rsidRPr="009842B2">
              <w:rPr>
                <w:bCs/>
                <w:color w:val="010000"/>
              </w:rPr>
              <w:t>Ömer ÇINAR</w:t>
            </w:r>
          </w:p>
        </w:tc>
        <w:tc>
          <w:tcPr>
            <w:tcW w:w="1679" w:type="pct"/>
            <w:vAlign w:val="center"/>
            <w:hideMark/>
          </w:tcPr>
          <w:p w:rsidR="00EB730E" w:rsidRPr="009842B2" w:rsidRDefault="00EB730E" w:rsidP="009842B2">
            <w:pPr>
              <w:spacing w:after="120"/>
              <w:jc w:val="center"/>
              <w:rPr>
                <w:color w:val="010000"/>
              </w:rPr>
            </w:pPr>
            <w:r w:rsidRPr="009842B2">
              <w:rPr>
                <w:color w:val="010000"/>
              </w:rPr>
              <w:t>Üye</w:t>
            </w:r>
          </w:p>
          <w:p w:rsidR="00EB730E" w:rsidRPr="009842B2" w:rsidRDefault="00EB730E" w:rsidP="009842B2">
            <w:pPr>
              <w:spacing w:after="120"/>
              <w:jc w:val="center"/>
              <w:rPr>
                <w:color w:val="010000"/>
              </w:rPr>
            </w:pPr>
            <w:r w:rsidRPr="009842B2">
              <w:rPr>
                <w:color w:val="010000"/>
              </w:rPr>
              <w:t>Metin KIRATLI</w:t>
            </w:r>
          </w:p>
        </w:tc>
      </w:tr>
    </w:tbl>
    <w:p w:rsidR="00EB730E" w:rsidRPr="009842B2" w:rsidRDefault="00EB730E" w:rsidP="009842B2">
      <w:pPr>
        <w:spacing w:after="200"/>
        <w:ind w:right="283" w:firstLine="709"/>
        <w:jc w:val="both"/>
        <w:rPr>
          <w:color w:val="010000"/>
        </w:rPr>
      </w:pPr>
    </w:p>
    <w:sectPr w:rsidR="00EB730E" w:rsidRPr="009842B2" w:rsidSect="009842B2">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AF2" w:rsidRDefault="00F60AF2" w:rsidP="00755A2A">
      <w:r>
        <w:separator/>
      </w:r>
    </w:p>
  </w:endnote>
  <w:endnote w:type="continuationSeparator" w:id="0">
    <w:p w:rsidR="00F60AF2" w:rsidRDefault="00F60AF2" w:rsidP="0075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2B2" w:rsidRDefault="009842B2" w:rsidP="00C514F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842B2" w:rsidRDefault="009842B2" w:rsidP="009842B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2B2" w:rsidRPr="009842B2" w:rsidRDefault="009842B2" w:rsidP="00C514F7">
    <w:pPr>
      <w:pStyle w:val="AltBilgi"/>
      <w:framePr w:wrap="around" w:vAnchor="text" w:hAnchor="margin" w:xAlign="right" w:y="1"/>
      <w:rPr>
        <w:rStyle w:val="SayfaNumaras"/>
      </w:rPr>
    </w:pPr>
    <w:r w:rsidRPr="009842B2">
      <w:rPr>
        <w:rStyle w:val="SayfaNumaras"/>
      </w:rPr>
      <w:fldChar w:fldCharType="begin"/>
    </w:r>
    <w:r w:rsidRPr="009842B2">
      <w:rPr>
        <w:rStyle w:val="SayfaNumaras"/>
      </w:rPr>
      <w:instrText xml:space="preserve"> PAGE </w:instrText>
    </w:r>
    <w:r w:rsidRPr="009842B2">
      <w:rPr>
        <w:rStyle w:val="SayfaNumaras"/>
      </w:rPr>
      <w:fldChar w:fldCharType="separate"/>
    </w:r>
    <w:r w:rsidRPr="009842B2">
      <w:rPr>
        <w:rStyle w:val="SayfaNumaras"/>
        <w:noProof/>
      </w:rPr>
      <w:t>6</w:t>
    </w:r>
    <w:r w:rsidRPr="009842B2">
      <w:rPr>
        <w:rStyle w:val="SayfaNumaras"/>
      </w:rPr>
      <w:fldChar w:fldCharType="end"/>
    </w:r>
  </w:p>
  <w:p w:rsidR="00755A2A" w:rsidRDefault="00755A2A" w:rsidP="009842B2">
    <w:pPr>
      <w:pStyle w:val="AltBilgi"/>
      <w:ind w:right="360"/>
      <w:jc w:val="right"/>
    </w:pPr>
  </w:p>
  <w:p w:rsidR="00755A2A" w:rsidRDefault="00755A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AF2" w:rsidRDefault="00F60AF2" w:rsidP="00755A2A">
      <w:r>
        <w:separator/>
      </w:r>
    </w:p>
  </w:footnote>
  <w:footnote w:type="continuationSeparator" w:id="0">
    <w:p w:rsidR="00F60AF2" w:rsidRDefault="00F60AF2" w:rsidP="0075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2B2" w:rsidRPr="009842B2" w:rsidRDefault="009842B2" w:rsidP="009842B2">
    <w:pPr>
      <w:pStyle w:val="stBilgi"/>
      <w:rPr>
        <w:b/>
      </w:rPr>
    </w:pPr>
    <w:r w:rsidRPr="009842B2">
      <w:rPr>
        <w:b/>
      </w:rPr>
      <w:t xml:space="preserve">Esas </w:t>
    </w:r>
    <w:proofErr w:type="gramStart"/>
    <w:r w:rsidRPr="009842B2">
      <w:rPr>
        <w:b/>
      </w:rPr>
      <w:t>Sayısı :</w:t>
    </w:r>
    <w:proofErr w:type="gramEnd"/>
    <w:r w:rsidRPr="009842B2">
      <w:rPr>
        <w:b/>
      </w:rPr>
      <w:t xml:space="preserve"> 2022/38 (Siyasi Parti Mali Denetimi)</w:t>
    </w:r>
  </w:p>
  <w:p w:rsidR="009842B2" w:rsidRDefault="009842B2" w:rsidP="009842B2">
    <w:pPr>
      <w:pStyle w:val="stBilgi"/>
      <w:rPr>
        <w:b/>
      </w:rPr>
    </w:pPr>
    <w:r>
      <w:rPr>
        <w:b/>
      </w:rPr>
      <w:t xml:space="preserve">Karar </w:t>
    </w:r>
    <w:proofErr w:type="gramStart"/>
    <w:r>
      <w:rPr>
        <w:b/>
      </w:rPr>
      <w:t>Sayısı :</w:t>
    </w:r>
    <w:proofErr w:type="gramEnd"/>
    <w:r>
      <w:rPr>
        <w:b/>
      </w:rPr>
      <w:t xml:space="preserve"> 2025/119</w:t>
    </w:r>
  </w:p>
  <w:p w:rsidR="00755A2A" w:rsidRPr="009842B2" w:rsidRDefault="00755A2A" w:rsidP="009842B2">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F01ED"/>
    <w:multiLevelType w:val="hybridMultilevel"/>
    <w:tmpl w:val="728497F4"/>
    <w:lvl w:ilvl="0" w:tplc="FA02C224">
      <w:start w:val="1"/>
      <w:numFmt w:val="upperLetter"/>
      <w:lvlText w:val="%1."/>
      <w:lvlJc w:val="left"/>
      <w:pPr>
        <w:ind w:left="1352" w:hanging="360"/>
      </w:pPr>
      <w:rPr>
        <w:rFonts w:hint="default"/>
        <w:b/>
        <w:i w:val="0"/>
      </w:r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4B57"/>
    <w:rsid w:val="002C77EE"/>
    <w:rsid w:val="00323DA2"/>
    <w:rsid w:val="003F1D9A"/>
    <w:rsid w:val="006F2B9E"/>
    <w:rsid w:val="00740D1D"/>
    <w:rsid w:val="00753FE4"/>
    <w:rsid w:val="00755A2A"/>
    <w:rsid w:val="007D240F"/>
    <w:rsid w:val="00952B5F"/>
    <w:rsid w:val="009842B2"/>
    <w:rsid w:val="00A443CA"/>
    <w:rsid w:val="00A649D4"/>
    <w:rsid w:val="00EB730E"/>
    <w:rsid w:val="00ED44D6"/>
    <w:rsid w:val="00F60A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1FA94"/>
  <w15:chartTrackingRefBased/>
  <w15:docId w15:val="{2C543B39-8A68-426A-B4D5-53E2FA0F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5A2A"/>
    <w:pPr>
      <w:ind w:left="720"/>
      <w:contextualSpacing/>
    </w:pPr>
  </w:style>
  <w:style w:type="table" w:styleId="TabloKlavuzu">
    <w:name w:val="Table Grid"/>
    <w:basedOn w:val="NormalTablo"/>
    <w:uiPriority w:val="39"/>
    <w:rsid w:val="00755A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755A2A"/>
    <w:pPr>
      <w:tabs>
        <w:tab w:val="center" w:pos="4536"/>
        <w:tab w:val="right" w:pos="9072"/>
      </w:tabs>
    </w:pPr>
  </w:style>
  <w:style w:type="character" w:customStyle="1" w:styleId="stBilgiChar">
    <w:name w:val="Üst Bilgi Char"/>
    <w:link w:val="stBilgi"/>
    <w:uiPriority w:val="99"/>
    <w:rsid w:val="00755A2A"/>
    <w:rPr>
      <w:sz w:val="24"/>
      <w:szCs w:val="24"/>
    </w:rPr>
  </w:style>
  <w:style w:type="paragraph" w:styleId="AltBilgi">
    <w:name w:val="footer"/>
    <w:basedOn w:val="Normal"/>
    <w:link w:val="AltBilgiChar"/>
    <w:uiPriority w:val="99"/>
    <w:rsid w:val="00755A2A"/>
    <w:pPr>
      <w:tabs>
        <w:tab w:val="center" w:pos="4536"/>
        <w:tab w:val="right" w:pos="9072"/>
      </w:tabs>
    </w:pPr>
  </w:style>
  <w:style w:type="character" w:customStyle="1" w:styleId="AltBilgiChar">
    <w:name w:val="Alt Bilgi Char"/>
    <w:link w:val="AltBilgi"/>
    <w:uiPriority w:val="99"/>
    <w:rsid w:val="00755A2A"/>
    <w:rPr>
      <w:sz w:val="24"/>
      <w:szCs w:val="24"/>
    </w:rPr>
  </w:style>
  <w:style w:type="paragraph" w:styleId="BalonMetni">
    <w:name w:val="Balloon Text"/>
    <w:basedOn w:val="Normal"/>
    <w:link w:val="BalonMetniChar"/>
    <w:rsid w:val="00ED44D6"/>
    <w:rPr>
      <w:rFonts w:ascii="Segoe UI" w:hAnsi="Segoe UI" w:cs="Segoe UI"/>
      <w:sz w:val="18"/>
      <w:szCs w:val="18"/>
    </w:rPr>
  </w:style>
  <w:style w:type="character" w:customStyle="1" w:styleId="BalonMetniChar">
    <w:name w:val="Balon Metni Char"/>
    <w:link w:val="BalonMetni"/>
    <w:rsid w:val="00ED44D6"/>
    <w:rPr>
      <w:rFonts w:ascii="Segoe UI" w:hAnsi="Segoe UI" w:cs="Segoe UI"/>
      <w:sz w:val="18"/>
      <w:szCs w:val="18"/>
    </w:rPr>
  </w:style>
  <w:style w:type="paragraph" w:styleId="AralkYok">
    <w:name w:val="No Spacing"/>
    <w:uiPriority w:val="1"/>
    <w:qFormat/>
    <w:rsid w:val="00323DA2"/>
    <w:rPr>
      <w:sz w:val="24"/>
      <w:szCs w:val="24"/>
    </w:rPr>
  </w:style>
  <w:style w:type="character" w:styleId="SayfaNumaras">
    <w:name w:val="page number"/>
    <w:basedOn w:val="VarsaylanParagrafYazTipi"/>
    <w:rsid w:val="0098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4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1720</Words>
  <Characters>9810</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2026-03-17T13:04:00Z</cp:lastPrinted>
  <dcterms:created xsi:type="dcterms:W3CDTF">2026-03-25T06:00:00Z</dcterms:created>
  <dcterms:modified xsi:type="dcterms:W3CDTF">2026-03-25T06:00:00Z</dcterms:modified>
</cp:coreProperties>
</file>