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05" w:rsidRDefault="00E07305" w:rsidP="00582EA7">
      <w:pPr>
        <w:spacing w:after="200"/>
        <w:ind w:right="283"/>
        <w:jc w:val="center"/>
        <w:rPr>
          <w:b/>
          <w:bCs/>
          <w:caps/>
          <w:color w:val="010000"/>
        </w:rPr>
      </w:pPr>
      <w:r w:rsidRPr="00582EA7">
        <w:rPr>
          <w:b/>
          <w:bCs/>
          <w:caps/>
          <w:color w:val="010000"/>
        </w:rPr>
        <w:t>ANAYASA MAHKEMESİ KARARI</w:t>
      </w:r>
    </w:p>
    <w:p w:rsidR="00582EA7" w:rsidRPr="00582EA7" w:rsidRDefault="00582EA7" w:rsidP="00582EA7">
      <w:pPr>
        <w:spacing w:after="200"/>
        <w:ind w:right="283" w:firstLine="567"/>
        <w:jc w:val="center"/>
        <w:rPr>
          <w:b/>
          <w:bCs/>
          <w:caps/>
          <w:color w:val="010000"/>
        </w:rPr>
      </w:pPr>
    </w:p>
    <w:p w:rsidR="00582EA7" w:rsidRDefault="00582EA7" w:rsidP="00582EA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2021/75 (Siyasi Parti Mali Denetimi)</w:t>
      </w:r>
    </w:p>
    <w:p w:rsidR="00582EA7" w:rsidRDefault="00582EA7" w:rsidP="00582EA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2025/106</w:t>
      </w:r>
    </w:p>
    <w:p w:rsidR="00582EA7" w:rsidRDefault="00582EA7" w:rsidP="00582EA7">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582EA7" w:rsidRDefault="00582EA7" w:rsidP="00582EA7">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452F64" w:rsidRPr="00582EA7" w:rsidRDefault="00452F64" w:rsidP="00582EA7">
      <w:pPr>
        <w:rPr>
          <w:b/>
          <w:bCs/>
          <w:color w:val="010000"/>
        </w:rPr>
      </w:pPr>
    </w:p>
    <w:p w:rsidR="00E07305" w:rsidRPr="00582EA7" w:rsidRDefault="00E07305" w:rsidP="00582EA7">
      <w:pPr>
        <w:spacing w:after="200"/>
        <w:ind w:right="283" w:firstLine="567"/>
        <w:jc w:val="both"/>
        <w:rPr>
          <w:color w:val="010000"/>
        </w:rPr>
      </w:pPr>
      <w:r w:rsidRPr="00582EA7">
        <w:rPr>
          <w:b/>
          <w:bCs/>
          <w:color w:val="010000"/>
        </w:rPr>
        <w:t>I. MALİ DENETİMİN KONUSU</w:t>
      </w:r>
    </w:p>
    <w:p w:rsidR="00E07305" w:rsidRPr="00582EA7" w:rsidRDefault="00E07305" w:rsidP="00582EA7">
      <w:pPr>
        <w:spacing w:after="200"/>
        <w:ind w:right="283" w:firstLine="567"/>
        <w:jc w:val="both"/>
        <w:rPr>
          <w:color w:val="010000"/>
        </w:rPr>
      </w:pPr>
      <w:r w:rsidRPr="00582EA7">
        <w:rPr>
          <w:color w:val="010000"/>
        </w:rPr>
        <w:t>Güç Birliği Partisinin 2020 yılı kesin hesabının incelenmesidir.</w:t>
      </w:r>
    </w:p>
    <w:p w:rsidR="00E07305" w:rsidRPr="00582EA7" w:rsidRDefault="00E07305" w:rsidP="00582EA7">
      <w:pPr>
        <w:spacing w:after="200"/>
        <w:ind w:right="283" w:firstLine="567"/>
        <w:jc w:val="both"/>
        <w:rPr>
          <w:color w:val="010000"/>
        </w:rPr>
      </w:pPr>
      <w:r w:rsidRPr="00582EA7">
        <w:rPr>
          <w:b/>
          <w:bCs/>
          <w:color w:val="010000"/>
        </w:rPr>
        <w:t>II. İLK İNCELEME</w:t>
      </w:r>
    </w:p>
    <w:p w:rsidR="00E07305" w:rsidRPr="00582EA7" w:rsidRDefault="00E07305" w:rsidP="00582EA7">
      <w:pPr>
        <w:spacing w:after="200"/>
        <w:ind w:right="283" w:firstLine="567"/>
        <w:jc w:val="both"/>
        <w:rPr>
          <w:color w:val="010000"/>
        </w:rPr>
      </w:pPr>
      <w:r w:rsidRPr="00582EA7">
        <w:rPr>
          <w:color w:val="010000"/>
        </w:rPr>
        <w:t xml:space="preserve">1. Anayasa Mahkemesi İçtüzüğü hükümleri uyarınca Zühtü ARSLAN, Hasan Tahsin GÖKCAN, Kadir ÖZKAYA, Engin YILDIRIM, </w:t>
      </w:r>
      <w:proofErr w:type="spellStart"/>
      <w:r w:rsidRPr="00582EA7">
        <w:rPr>
          <w:color w:val="010000"/>
        </w:rPr>
        <w:t>Hicabi</w:t>
      </w:r>
      <w:proofErr w:type="spellEnd"/>
      <w:r w:rsidRPr="00582EA7">
        <w:rPr>
          <w:color w:val="010000"/>
        </w:rPr>
        <w:t xml:space="preserve"> DURSUN, Muammer TOPAL, M. Emin KUZ, Rıdvan GÜLEÇ, Recai AKYEL, Yusuf Şevki HAKYEMEZ, Yıldız SEFERİNOĞLU, Selahaddin MENTEŞ, Basri BAĞCI, İrfan FİDAN ve Kenan </w:t>
      </w:r>
      <w:proofErr w:type="spellStart"/>
      <w:r w:rsidRPr="00582EA7">
        <w:rPr>
          <w:color w:val="010000"/>
        </w:rPr>
        <w:t>YAŞAR’ın</w:t>
      </w:r>
      <w:proofErr w:type="spellEnd"/>
      <w:r w:rsidRPr="00582EA7">
        <w:rPr>
          <w:color w:val="010000"/>
        </w:rPr>
        <w:t xml:space="preserve"> katılımlarıyla 20/7/2022 tarihinde yapılan ilk inceleme toplantısında öncelikle mülki amire bildirimde ve suç duyurusunda bulunup bulunmama hususu görüşülmüştür.</w:t>
      </w:r>
    </w:p>
    <w:p w:rsidR="00E07305" w:rsidRPr="00582EA7" w:rsidRDefault="00E07305" w:rsidP="00582EA7">
      <w:pPr>
        <w:spacing w:after="200"/>
        <w:ind w:right="283" w:firstLine="567"/>
        <w:jc w:val="both"/>
        <w:rPr>
          <w:color w:val="010000"/>
        </w:rPr>
      </w:pPr>
      <w:r w:rsidRPr="00582EA7">
        <w:rPr>
          <w:color w:val="010000"/>
        </w:rPr>
        <w:t>2. 22/4/1983 tarihli ve 2820 sayılı Siyasi Partiler Kanunu’nun 73. maddesinin üçüncü fıkrasının ikinci cümlesinde “</w:t>
      </w:r>
      <w:r w:rsidRPr="00582EA7">
        <w:rPr>
          <w:i/>
          <w:color w:val="010000"/>
        </w:rPr>
        <w:t>İller teşkilatından gönderilenler ve parti merkezine ait olan kesin hesaplar, merkez karar ve yönetim kurulunca incelenerek karara bağlanır ve birleştirilir.</w:t>
      </w:r>
      <w:r w:rsidRPr="00582EA7">
        <w:rPr>
          <w:color w:val="010000"/>
        </w:rPr>
        <w:t>” denilmiş ve aynı Kanun’un 74. maddesinin ikinci fıkrasında da “</w:t>
      </w:r>
      <w:r w:rsidRPr="00582EA7">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582EA7">
        <w:rPr>
          <w:i/>
          <w:color w:val="010000"/>
        </w:rPr>
        <w:t>binbeşyüz</w:t>
      </w:r>
      <w:proofErr w:type="spellEnd"/>
      <w:r w:rsidRPr="00582EA7">
        <w:rPr>
          <w:i/>
          <w:color w:val="010000"/>
        </w:rPr>
        <w:t xml:space="preserve"> lirayı aşan taşınır malların, menkul kıymetlerin ve her türlü hakların değerleri ile edinim tarihlerini ve şekillerini de belirten listeleri eklenir</w:t>
      </w:r>
      <w:r w:rsidRPr="00582EA7">
        <w:rPr>
          <w:color w:val="010000"/>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w:t>
      </w:r>
      <w:proofErr w:type="spellStart"/>
      <w:r w:rsidRPr="00582EA7">
        <w:rPr>
          <w:color w:val="010000"/>
        </w:rPr>
        <w:t>binbeşyüz</w:t>
      </w:r>
      <w:proofErr w:type="spellEnd"/>
      <w:r w:rsidRPr="00582EA7">
        <w:rPr>
          <w:color w:val="010000"/>
        </w:rPr>
        <w:t xml:space="preserve"> lirayı aşan taşınır malların, menkul kıymetlerin ve her türlü hakların değerleri ile edinim tarihlerini ve şekillerini de belirten listelerinin ekleneceği hükme bağlanmıştır.</w:t>
      </w:r>
    </w:p>
    <w:p w:rsidR="00E07305" w:rsidRPr="00582EA7" w:rsidRDefault="00E07305" w:rsidP="00582EA7">
      <w:pPr>
        <w:spacing w:after="200"/>
        <w:ind w:right="283" w:firstLine="567"/>
        <w:jc w:val="both"/>
        <w:rPr>
          <w:color w:val="010000"/>
        </w:rPr>
      </w:pPr>
      <w:r w:rsidRPr="00582EA7">
        <w:rPr>
          <w:color w:val="010000"/>
        </w:rPr>
        <w:t xml:space="preserve">3. Diğer taraftan Anayasa Mahkemesi </w:t>
      </w:r>
      <w:proofErr w:type="spellStart"/>
      <w:r w:rsidRPr="00582EA7">
        <w:rPr>
          <w:color w:val="010000"/>
        </w:rPr>
        <w:t>İçtüzüğü’nün</w:t>
      </w:r>
      <w:proofErr w:type="spellEnd"/>
      <w:r w:rsidRPr="00582EA7">
        <w:rPr>
          <w:color w:val="010000"/>
        </w:rPr>
        <w:t xml:space="preserve"> 51. maddesinin (1) numaralı fıkrasının (a) bendinde siyasi partilerin “</w:t>
      </w:r>
      <w:r w:rsidRPr="00582EA7">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582EA7">
        <w:rPr>
          <w:color w:val="010000"/>
        </w:rPr>
        <w:t>”, (b) bendinde “</w:t>
      </w:r>
      <w:r w:rsidRPr="00582EA7">
        <w:rPr>
          <w:i/>
          <w:color w:val="010000"/>
        </w:rPr>
        <w:t>Karara bağlanmış ve birleştirilmiş bulunan bir yıllık kesin hesabın onaylı örneğini</w:t>
      </w:r>
      <w:r w:rsidRPr="00582EA7">
        <w:rPr>
          <w:color w:val="010000"/>
        </w:rPr>
        <w:t>”, (c) bendinde “</w:t>
      </w:r>
      <w:r w:rsidRPr="00582EA7">
        <w:rPr>
          <w:i/>
          <w:color w:val="010000"/>
        </w:rPr>
        <w:t>Parti genel merkez kesin hesabının onaylı örneğini,</w:t>
      </w:r>
      <w:r w:rsidRPr="00582EA7">
        <w:rPr>
          <w:color w:val="010000"/>
        </w:rPr>
        <w:t>”, (ç) bendinde “</w:t>
      </w:r>
      <w:r w:rsidRPr="00582EA7">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582EA7">
        <w:rPr>
          <w:color w:val="010000"/>
        </w:rPr>
        <w:t>”, (d) bendinde “</w:t>
      </w:r>
      <w:r w:rsidRPr="00582EA7">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582EA7">
        <w:rPr>
          <w:color w:val="010000"/>
        </w:rPr>
        <w:t>”, (e) bendinde ise “</w:t>
      </w:r>
      <w:r w:rsidRPr="00582EA7">
        <w:rPr>
          <w:i/>
          <w:color w:val="010000"/>
        </w:rPr>
        <w:t>Parti genel sekreteri ve genel saymanının imzasını taşıyan yıl sonu kasa mevcudunu gösteren kasa sayım tutanağı ile banka hesaplarına ilişkin olarak banka yetkililerince onaylanmış mutabakat yazılarını</w:t>
      </w:r>
      <w:r w:rsidRPr="00582EA7">
        <w:rPr>
          <w:color w:val="010000"/>
        </w:rPr>
        <w:t>” haziran ayı sonuna kadar Anayasa Mahkemesine sunacakları belirtilmektedir.</w:t>
      </w:r>
    </w:p>
    <w:p w:rsidR="00E07305" w:rsidRPr="00582EA7" w:rsidRDefault="00E07305" w:rsidP="00582EA7">
      <w:pPr>
        <w:spacing w:after="200"/>
        <w:ind w:right="283" w:firstLine="567"/>
        <w:jc w:val="both"/>
        <w:rPr>
          <w:color w:val="010000"/>
        </w:rPr>
      </w:pPr>
      <w:r w:rsidRPr="00582EA7">
        <w:rPr>
          <w:color w:val="010000"/>
        </w:rPr>
        <w:lastRenderedPageBreak/>
        <w:t>4. Güç Birliği Partisinin 2020 yılı kesin hesaplarının incelenip birleştirildiği ve onaylandığına ilişkin kararı, yıl sonu genel merkez tarafından düzenlenecek olan il teşkilatları kesin hesaplarının icmal listesini, karara bağlanmış ve birleştirilmiş bulunan bir yıllık kesin hesabın onaylı örneğini, parti genel merkez ve il teşkilatlarının aynı hesap döneminde edindiği taşınmaz ve değeri yüz lirayı aşan taşınır malların, menkul kıymetlerin ve her türlü hakların değerleri ile edinim tarihlerini ve şekillerini belirten listelerini, genel merkez kesin hesabında parti genel sekreteri ve genel saymanının imzasını taşıyan yıl sonu kasa mevcudunu gösteren kasa sayım tutanağı ile banka hesaplarına ilişkin olarak banka yetkililerince onaylanmış mutabakat yazılarını göndermediği tespit edilmiştir.</w:t>
      </w:r>
    </w:p>
    <w:p w:rsidR="00582EA7" w:rsidRDefault="00582EA7" w:rsidP="00582EA7">
      <w:pPr>
        <w:spacing w:after="200"/>
        <w:ind w:right="283" w:firstLine="567"/>
        <w:jc w:val="both"/>
        <w:rPr>
          <w:color w:val="010000"/>
        </w:rPr>
      </w:pPr>
      <w:r>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E07305" w:rsidRPr="00582EA7" w:rsidRDefault="00E07305" w:rsidP="00582EA7">
      <w:pPr>
        <w:spacing w:after="200"/>
        <w:ind w:right="283" w:firstLine="567"/>
        <w:jc w:val="both"/>
        <w:rPr>
          <w:iCs/>
          <w:color w:val="010000"/>
        </w:rPr>
      </w:pPr>
      <w:r w:rsidRPr="00582EA7">
        <w:rPr>
          <w:iCs/>
          <w:color w:val="010000"/>
        </w:rPr>
        <w:t>6. 4/11/2004 tarihli ve 5252 sayılı Türk Ceza Kanunu’nun Yürürlük ve Uygulama Şekli Hakkında Kanun’un “</w:t>
      </w:r>
      <w:r w:rsidRPr="00582EA7">
        <w:rPr>
          <w:i/>
          <w:iCs/>
          <w:color w:val="010000"/>
        </w:rPr>
        <w:t>Hafif hapis ve hafif para cezalarının idari para cezasına dönüştürülmesi</w:t>
      </w:r>
      <w:r w:rsidRPr="00582EA7">
        <w:rPr>
          <w:iCs/>
          <w:color w:val="010000"/>
        </w:rPr>
        <w:t>” başlıklı 7’nci maddesinde kanunlarda hafif hapis cezası ve hafif para cezası olarak öngörülen yaptırımların idari para cezasına dönüştürüldüğü ve idari para cezasına karar vermeye ise mülki idare amirinin yetkili olduğu belirtilmiştir.</w:t>
      </w:r>
    </w:p>
    <w:p w:rsidR="00E07305" w:rsidRPr="00582EA7" w:rsidRDefault="00E07305" w:rsidP="00582EA7">
      <w:pPr>
        <w:spacing w:after="200"/>
        <w:ind w:right="283" w:firstLine="567"/>
        <w:jc w:val="both"/>
        <w:rPr>
          <w:color w:val="010000"/>
        </w:rPr>
      </w:pPr>
      <w:r w:rsidRPr="00582EA7">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E07305" w:rsidRPr="00582EA7" w:rsidRDefault="00E07305" w:rsidP="00582EA7">
      <w:pPr>
        <w:spacing w:after="200"/>
        <w:ind w:right="283" w:firstLine="567"/>
        <w:jc w:val="both"/>
        <w:rPr>
          <w:color w:val="010000"/>
        </w:rPr>
      </w:pPr>
      <w:r w:rsidRPr="00582EA7">
        <w:rPr>
          <w:color w:val="010000"/>
        </w:rPr>
        <w:t>8. Güç Birliği Partisinin 2020 yılı kesin hesap dosyasında, Yargıtay Cumhuriyet Başsavcılığının siyasi parti teşkilat listesinde aktif görünen 46 il teşkilatına ait kesin hesap cetvellerinin sunulmadığı tespit edilmiştir.</w:t>
      </w:r>
    </w:p>
    <w:p w:rsidR="00E07305" w:rsidRPr="00582EA7" w:rsidRDefault="00E07305" w:rsidP="00582EA7">
      <w:pPr>
        <w:spacing w:after="200"/>
        <w:ind w:right="283" w:firstLine="567"/>
        <w:jc w:val="both"/>
        <w:rPr>
          <w:color w:val="010000"/>
        </w:rPr>
      </w:pPr>
      <w:r w:rsidRPr="00582EA7">
        <w:rPr>
          <w:color w:val="010000"/>
        </w:rPr>
        <w:t>9.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E07305" w:rsidRPr="00582EA7" w:rsidRDefault="00E07305" w:rsidP="00582EA7">
      <w:pPr>
        <w:spacing w:after="200"/>
        <w:ind w:right="283" w:firstLine="567"/>
        <w:jc w:val="both"/>
        <w:rPr>
          <w:color w:val="010000"/>
        </w:rPr>
      </w:pPr>
      <w:r w:rsidRPr="00582EA7">
        <w:rPr>
          <w:color w:val="010000"/>
        </w:rPr>
        <w:t>10. Ayrıca, partilerin genel merkez, il, ilçe ve belde başkanlıklarının hayatın olağan akışı gereği kira, su, elektrik, posta, telefon, kırtasiye, tutulacak defterlerin satın alınması vb. birtakım genel yönetim giderlerini de yapması gerekir.</w:t>
      </w:r>
      <w:r w:rsidR="00582EA7" w:rsidRPr="00582EA7">
        <w:rPr>
          <w:color w:val="010000"/>
        </w:rPr>
        <w:t xml:space="preserve"> </w:t>
      </w:r>
    </w:p>
    <w:p w:rsidR="00E07305" w:rsidRPr="00582EA7" w:rsidRDefault="00E07305" w:rsidP="00582EA7">
      <w:pPr>
        <w:spacing w:after="200"/>
        <w:ind w:right="283" w:firstLine="567"/>
        <w:jc w:val="both"/>
        <w:rPr>
          <w:color w:val="010000"/>
        </w:rPr>
      </w:pPr>
      <w:r w:rsidRPr="00582EA7">
        <w:rPr>
          <w:color w:val="010000"/>
        </w:rPr>
        <w:t>11.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p>
    <w:p w:rsidR="00E07305" w:rsidRPr="00582EA7" w:rsidRDefault="00E07305" w:rsidP="00582EA7">
      <w:pPr>
        <w:spacing w:after="200"/>
        <w:ind w:right="283" w:firstLine="567"/>
        <w:jc w:val="both"/>
        <w:rPr>
          <w:color w:val="010000"/>
        </w:rPr>
      </w:pPr>
      <w:r w:rsidRPr="00582EA7">
        <w:rPr>
          <w:color w:val="010000"/>
        </w:rPr>
        <w:t>12. Yönetim giderlerinin hesaplarda görülmemesi kayıtlarda yer almayan gelir ve gider bulunduğunu göstermektedir. Bu durumda, 2820 sayılı Kanun’un 69. ve 70. maddelerine aykırı davranılmış olmaktadır.</w:t>
      </w:r>
    </w:p>
    <w:p w:rsidR="00E07305" w:rsidRPr="00582EA7" w:rsidRDefault="00E07305" w:rsidP="00582EA7">
      <w:pPr>
        <w:spacing w:after="200"/>
        <w:ind w:right="283" w:firstLine="567"/>
        <w:jc w:val="both"/>
        <w:rPr>
          <w:color w:val="010000"/>
        </w:rPr>
      </w:pPr>
      <w:r w:rsidRPr="00582EA7">
        <w:rPr>
          <w:color w:val="010000"/>
        </w:rPr>
        <w:lastRenderedPageBreak/>
        <w:t>13.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E07305" w:rsidRPr="00582EA7" w:rsidRDefault="00E07305" w:rsidP="00582EA7">
      <w:pPr>
        <w:spacing w:after="200"/>
        <w:ind w:right="283" w:firstLine="567"/>
        <w:jc w:val="both"/>
        <w:rPr>
          <w:color w:val="010000"/>
          <w:sz w:val="20"/>
          <w:szCs w:val="20"/>
        </w:rPr>
      </w:pPr>
      <w:r w:rsidRPr="00582EA7">
        <w:rPr>
          <w:color w:val="010000"/>
        </w:rPr>
        <w:t>14. Bu itibarla Güç Birliği Partisinin 2020 yılı kesin hesabının incelenmesi sonucunda;</w:t>
      </w:r>
    </w:p>
    <w:p w:rsidR="00E07305" w:rsidRPr="00582EA7" w:rsidRDefault="00E07305" w:rsidP="00582EA7">
      <w:pPr>
        <w:spacing w:after="200"/>
        <w:ind w:right="283" w:firstLine="567"/>
        <w:jc w:val="both"/>
        <w:rPr>
          <w:color w:val="010000"/>
          <w:sz w:val="20"/>
          <w:szCs w:val="20"/>
        </w:rPr>
      </w:pPr>
      <w:r w:rsidRPr="00582EA7">
        <w:rPr>
          <w:color w:val="010000"/>
        </w:rPr>
        <w:t>-Genel Merkeze ait kesin hesapların sunulması nedeniyle işin esasının incelenmesine,</w:t>
      </w:r>
    </w:p>
    <w:p w:rsidR="00E07305" w:rsidRPr="00582EA7" w:rsidRDefault="00E07305" w:rsidP="00582EA7">
      <w:pPr>
        <w:spacing w:after="200"/>
        <w:ind w:right="283" w:firstLine="567"/>
        <w:jc w:val="both"/>
        <w:rPr>
          <w:color w:val="010000"/>
        </w:rPr>
      </w:pPr>
      <w:r w:rsidRPr="00582EA7">
        <w:rPr>
          <w:color w:val="010000"/>
        </w:rPr>
        <w:t>-Esas incelemenin yapılabilmesi amacıyla, yetkili organlarca alınmış 2020 yılı kesin hesaplarının incelenip birleştirildiği ve onaylandığına ilişkin kararı, yıl sonu genel merkez tarafından düzenlenecek olan il teşkilatları kesin hesaplarının icmal listesini, karara bağlanmış ve birleştirilmiş bulunan bir yıllık kesin hesabın onaylı örneğini, parti genel merkez ve il teşkilatlarının aynı hesap döneminde edindiği taşınmaz ve değeri yüz lirayı aşan taşınır malların, menkul kıymetlerin ve her türlü hakların değerleri ile edinim tarihlerini ve şekillerini belirten listelerini, genel merkez kesin hesabında parti genel sekreteri ve genel saymanının imzasını taşıyan yıl sonu kasa mevcudunu gösteren kasa sayım tutanağı ile banka hesaplarına ilişkin olarak banka yetkililerince onaylanmış mutabakat yazılarını ve Genel Merkez kesin hesabının dayanağını oluşturan gelir-gider belgeleri ile bu belgelerin kaydedildiği defterleri Sayıştay Başkanlığına göndermesi için Partiye bu kararın tebliğinden itibaren otuz gün süre verilmesine,</w:t>
      </w:r>
    </w:p>
    <w:p w:rsidR="00E07305" w:rsidRPr="00582EA7" w:rsidRDefault="00E07305" w:rsidP="00582EA7">
      <w:pPr>
        <w:spacing w:after="200"/>
        <w:ind w:right="283" w:firstLine="567"/>
        <w:jc w:val="both"/>
        <w:rPr>
          <w:color w:val="010000"/>
        </w:rPr>
      </w:pPr>
      <w:r w:rsidRPr="00582EA7">
        <w:rPr>
          <w:color w:val="010000"/>
        </w:rPr>
        <w:t>-Anayasa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E07305" w:rsidRPr="00582EA7" w:rsidRDefault="00E07305" w:rsidP="00582EA7">
      <w:pPr>
        <w:spacing w:after="200"/>
        <w:ind w:right="283" w:firstLine="567"/>
        <w:jc w:val="both"/>
        <w:rPr>
          <w:color w:val="010000"/>
          <w:sz w:val="20"/>
          <w:szCs w:val="20"/>
        </w:rPr>
      </w:pPr>
      <w:r w:rsidRPr="00582EA7">
        <w:rPr>
          <w:color w:val="010000"/>
        </w:rPr>
        <w:t>-Anayasa Mahkemesine bilgilerin istenen şekliyle verilmemesi, hesap verilebilir şekilde kayıt ve belge düzeninin oluşturulmaması, hesabın dışında gelir ve gider yapılması, inceleme ve araştırmayı engellemeye yönelik eylemler olarak nitelendirildiğinden Parti sorumluları hakkında 2820 sayılı Kanun’un 111. maddesinin birinci fıkrasının (c) bendi uyarınca yasal işlem yapılması için Ankara Cumhuriyet Başsavcılığına suç duyurusunda bulunulmasına,</w:t>
      </w:r>
    </w:p>
    <w:p w:rsidR="00E07305" w:rsidRPr="00582EA7" w:rsidRDefault="00582EA7" w:rsidP="00582EA7">
      <w:pPr>
        <w:spacing w:after="200"/>
        <w:ind w:right="283" w:firstLine="567"/>
        <w:jc w:val="both"/>
        <w:rPr>
          <w:color w:val="010000"/>
        </w:rPr>
      </w:pPr>
      <w:r w:rsidRPr="00582EA7">
        <w:rPr>
          <w:color w:val="010000"/>
          <w:sz w:val="20"/>
          <w:szCs w:val="20"/>
        </w:rPr>
        <w:t xml:space="preserve"> </w:t>
      </w:r>
      <w:r w:rsidR="00E07305" w:rsidRPr="00582EA7">
        <w:rPr>
          <w:color w:val="010000"/>
        </w:rPr>
        <w:t xml:space="preserve">OYBİRLİĞİYLE karar verilmiştir. </w:t>
      </w:r>
    </w:p>
    <w:p w:rsidR="00E07305" w:rsidRPr="00582EA7" w:rsidRDefault="00E07305" w:rsidP="00582EA7">
      <w:pPr>
        <w:spacing w:after="200"/>
        <w:ind w:right="283" w:firstLine="567"/>
        <w:jc w:val="both"/>
        <w:rPr>
          <w:color w:val="010000"/>
        </w:rPr>
      </w:pPr>
      <w:r w:rsidRPr="00582EA7">
        <w:rPr>
          <w:b/>
          <w:bCs/>
          <w:color w:val="010000"/>
        </w:rPr>
        <w:t>III. ESASIN İNCELENMESİ</w:t>
      </w:r>
    </w:p>
    <w:p w:rsidR="00E07305" w:rsidRPr="00582EA7" w:rsidRDefault="00E07305" w:rsidP="00582EA7">
      <w:pPr>
        <w:spacing w:after="200"/>
        <w:ind w:right="283" w:firstLine="567"/>
        <w:jc w:val="both"/>
        <w:rPr>
          <w:color w:val="010000"/>
        </w:rPr>
      </w:pPr>
      <w:r w:rsidRPr="00582EA7">
        <w:rPr>
          <w:color w:val="010000"/>
        </w:rPr>
        <w:t>15. Güç Birliği Partisinin Anayasa Mahkemesine verdiği 2020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E07305" w:rsidRPr="00582EA7" w:rsidRDefault="00E07305" w:rsidP="00582EA7">
      <w:pPr>
        <w:spacing w:after="200"/>
        <w:ind w:right="283" w:firstLine="567"/>
        <w:jc w:val="both"/>
        <w:rPr>
          <w:color w:val="010000"/>
        </w:rPr>
      </w:pPr>
      <w:r w:rsidRPr="00582EA7">
        <w:rPr>
          <w:color w:val="010000"/>
        </w:rPr>
        <w:t>16. Denetimin maddi ögelerini oluşturan defter ve belgelerden Partinin 2020 yılı gelirleri toplamının 196.016 TL; giderleri toplamının 190.411 TL, gelecek yıla devreden nakit toplamının 5.605 TL olduğu anlaşılmıştır.</w:t>
      </w:r>
    </w:p>
    <w:p w:rsidR="00E07305" w:rsidRPr="00582EA7" w:rsidRDefault="00E07305" w:rsidP="00582EA7">
      <w:pPr>
        <w:spacing w:after="200"/>
        <w:ind w:right="283" w:firstLine="567"/>
        <w:jc w:val="both"/>
        <w:rPr>
          <w:color w:val="010000"/>
          <w:shd w:val="clear" w:color="auto" w:fill="FFFFFF"/>
        </w:rPr>
      </w:pPr>
      <w:r w:rsidRPr="00582EA7">
        <w:rPr>
          <w:rFonts w:eastAsia="Calibri"/>
          <w:color w:val="010000"/>
          <w:lang w:eastAsia="en-US"/>
        </w:rPr>
        <w:t xml:space="preserve">17. </w:t>
      </w:r>
      <w:r w:rsidRPr="00582EA7">
        <w:rPr>
          <w:color w:val="010000"/>
          <w:shd w:val="clear" w:color="auto" w:fill="FFFFFF"/>
        </w:rPr>
        <w:t xml:space="preserve">Anayasa Mahkemesinin </w:t>
      </w:r>
      <w:r w:rsidRPr="00582EA7">
        <w:rPr>
          <w:bCs/>
          <w:color w:val="010000"/>
        </w:rPr>
        <w:t xml:space="preserve">20/7/2022 </w:t>
      </w:r>
      <w:r w:rsidRPr="00582EA7">
        <w:rPr>
          <w:color w:val="010000"/>
          <w:shd w:val="clear" w:color="auto" w:fill="FFFFFF"/>
        </w:rPr>
        <w:t xml:space="preserve">tarihli ilk inceleme kararıyla Partinin </w:t>
      </w:r>
      <w:r w:rsidRPr="00582EA7">
        <w:rPr>
          <w:color w:val="010000"/>
        </w:rPr>
        <w:t xml:space="preserve">2020 yılı </w:t>
      </w:r>
      <w:r w:rsidRPr="00582EA7">
        <w:rPr>
          <w:color w:val="010000"/>
          <w:shd w:val="clear" w:color="auto" w:fill="FFFFFF"/>
        </w:rPr>
        <w:t xml:space="preserve">genel merkez kesin hesabının dayanağını oluşturan gelir-gider belgeleri ile bu belgelerin kaydedildiği defterlerini Sayıştay Başkanlığına göndermesi için bu kararın tebliğinden itibaren 30 gün süre verilmesine karar verilmiştir. Partinin anılan gelir-gider belgeleri ile bu belgelerin kaydedildiği defterleri belirtilen süre içinde göndermemesi üzerine Sayıştay Başkanlığı tarafından Partiye </w:t>
      </w:r>
      <w:r w:rsidRPr="00582EA7">
        <w:rPr>
          <w:color w:val="010000"/>
          <w:shd w:val="clear" w:color="auto" w:fill="FFFFFF"/>
        </w:rPr>
        <w:lastRenderedPageBreak/>
        <w:t xml:space="preserve">gönderilen </w:t>
      </w:r>
      <w:r w:rsidRPr="00582EA7">
        <w:rPr>
          <w:color w:val="010000"/>
          <w:szCs w:val="26"/>
        </w:rPr>
        <w:t xml:space="preserve">3/5/2024 tarih ve E-93995552-175.01-24020621 sayılı yazıyla </w:t>
      </w:r>
      <w:r w:rsidRPr="00582EA7">
        <w:rPr>
          <w:color w:val="010000"/>
          <w:shd w:val="clear" w:color="auto" w:fill="FFFFFF"/>
        </w:rPr>
        <w:t>2020 yılı esas incelemesinin yapılabilmesi için gelir-gider belgeleri ile bu belgelerin kaydedildiği defterlerin gönderilmesi gerektiği tekrar bildirilmiştir. Ancak Parti tarafından Sayıştay Başkanlığına herhangi bir cevap sunulmamış olup bilgi, belge ve bu belgelerin kaydedildiği defterler gönderilmemiştir.</w:t>
      </w:r>
    </w:p>
    <w:p w:rsidR="00E07305" w:rsidRPr="00582EA7" w:rsidRDefault="00E07305" w:rsidP="00582EA7">
      <w:pPr>
        <w:spacing w:after="200"/>
        <w:ind w:right="283" w:firstLine="567"/>
        <w:jc w:val="both"/>
        <w:rPr>
          <w:i/>
          <w:iCs/>
          <w:color w:val="010000"/>
          <w:shd w:val="clear" w:color="auto" w:fill="FFFFFF"/>
        </w:rPr>
      </w:pPr>
      <w:r w:rsidRPr="00582EA7">
        <w:rPr>
          <w:rFonts w:eastAsia="Calibri"/>
          <w:color w:val="010000"/>
          <w:lang w:eastAsia="en-US"/>
        </w:rPr>
        <w:t xml:space="preserve">18. </w:t>
      </w:r>
      <w:r w:rsidRPr="00582EA7">
        <w:rPr>
          <w:color w:val="010000"/>
          <w:shd w:val="clear" w:color="auto" w:fill="FFFFFF"/>
        </w:rPr>
        <w:t>2820 sayılı Kanun’un 69. maddesinde b</w:t>
      </w:r>
      <w:r w:rsidRPr="00582EA7">
        <w:rPr>
          <w:iCs/>
          <w:color w:val="010000"/>
          <w:shd w:val="clear" w:color="auto" w:fill="FFFFFF"/>
        </w:rPr>
        <w:t>ir siyasi partinin bütün gelirlerinin o siyasi partinin tüzel kişiliği adına elde edileceği, siyasi partilerin genel merkezlerinin ve teşkilat kademelerinin gelirlerinin parti merkez karar ve yönetim kurulunca bastırılan makbuzlar karşılığında alınacağı ve sağlanan gelirin türü ve miktarıyla, gelirin sağlandığı kimsenin adı, soyadı ve adresi, makbuzu düzenleyenin sıfatı, adı, soyadı ve imzasının makbuzda ve dip koçanlarında yer alacağı belirtilmiştir</w:t>
      </w:r>
      <w:r w:rsidRPr="00582EA7">
        <w:rPr>
          <w:i/>
          <w:iCs/>
          <w:color w:val="010000"/>
          <w:shd w:val="clear" w:color="auto" w:fill="FFFFFF"/>
        </w:rPr>
        <w:t xml:space="preserve">. </w:t>
      </w:r>
      <w:r w:rsidRPr="00582EA7">
        <w:rPr>
          <w:iCs/>
          <w:color w:val="010000"/>
          <w:shd w:val="clear" w:color="auto" w:fill="FFFFFF"/>
        </w:rPr>
        <w:t xml:space="preserve">Anılan Kanun’un </w:t>
      </w:r>
      <w:r w:rsidRPr="00582EA7">
        <w:rPr>
          <w:color w:val="010000"/>
          <w:shd w:val="clear" w:color="auto" w:fill="FFFFFF"/>
        </w:rPr>
        <w:t>75. maddesinin dördüncü fıkrasında da “</w:t>
      </w:r>
      <w:r w:rsidRPr="00582EA7">
        <w:rPr>
          <w:i/>
          <w:iCs/>
          <w:color w:val="010000"/>
          <w:shd w:val="clear" w:color="auto" w:fill="FFFFFF"/>
        </w:rPr>
        <w:t>Anayasa Mahkemesi denetimi sonunda, o siyasi partinin gelir ve giderlerinin doğruluğuna ve kanuna uygunluğuna veya kanuna uygun olmayan gelirler ile giderler dolayısıyla da bunların Hazineye gelir kaydedilmesine karar verir</w:t>
      </w:r>
      <w:r w:rsidRPr="00582EA7">
        <w:rPr>
          <w:iCs/>
          <w:color w:val="010000"/>
          <w:shd w:val="clear" w:color="auto" w:fill="FFFFFF"/>
        </w:rPr>
        <w:t>”,</w:t>
      </w:r>
      <w:r w:rsidRPr="00582EA7">
        <w:rPr>
          <w:color w:val="010000"/>
          <w:shd w:val="clear" w:color="auto" w:fill="FFFFFF"/>
        </w:rPr>
        <w:t xml:space="preserve"> 76. maddesinin üçüncü fıkrasında ise </w:t>
      </w:r>
      <w:r w:rsidRPr="00582EA7">
        <w:rPr>
          <w:iCs/>
          <w:color w:val="010000"/>
          <w:shd w:val="clear" w:color="auto" w:fill="FFFFFF"/>
        </w:rPr>
        <w:t>“</w:t>
      </w:r>
      <w:r w:rsidRPr="00582EA7">
        <w:rPr>
          <w:i/>
          <w:iCs/>
          <w:color w:val="010000"/>
          <w:shd w:val="clear" w:color="auto" w:fill="FFFFFF"/>
        </w:rPr>
        <w:t>Bu Kanunun 69 uncu maddesinde belirtilen esaslara aykırı olarak bir siyasi partinin tevsik edilmeyen kaynaklardan gelir sağladığı anlaşılırsa, Anayasa Mahkemesi kararıyla bu gelir Hazineye irat kaydedilir</w:t>
      </w:r>
      <w:r w:rsidRPr="00582EA7">
        <w:rPr>
          <w:iCs/>
          <w:color w:val="010000"/>
          <w:shd w:val="clear" w:color="auto" w:fill="FFFFFF"/>
        </w:rPr>
        <w:t>”</w:t>
      </w:r>
      <w:r w:rsidRPr="00582EA7">
        <w:rPr>
          <w:color w:val="010000"/>
          <w:shd w:val="clear" w:color="auto" w:fill="FFFFFF"/>
        </w:rPr>
        <w:t xml:space="preserve"> hükümleri yer almaktadır.</w:t>
      </w:r>
    </w:p>
    <w:p w:rsidR="00E07305" w:rsidRPr="00582EA7" w:rsidRDefault="00E07305" w:rsidP="00582EA7">
      <w:pPr>
        <w:spacing w:after="200"/>
        <w:ind w:right="283" w:firstLine="567"/>
        <w:jc w:val="both"/>
        <w:rPr>
          <w:rFonts w:eastAsia="Calibri"/>
          <w:color w:val="010000"/>
          <w:lang w:eastAsia="en-US"/>
        </w:rPr>
      </w:pPr>
      <w:r w:rsidRPr="00582EA7">
        <w:rPr>
          <w:rFonts w:eastAsia="Calibri"/>
          <w:color w:val="010000"/>
          <w:lang w:eastAsia="en-US"/>
        </w:rPr>
        <w:t>19. Kanun’un 70. maddesinin üçüncü fıkrası uyarınca beş milyon liraya kadar olan harcamaların makbuz veya fatura gibi bir belge ile tevsik edilmesi zorunlu olmadığından bu miktarı geçen harcamaların geçerli ve kanıtlayıcı bir belgeye dayanması gerekmektedir. Kanun’un 76. maddesinin dördüncü fıkrasında ise belgelendirilmesi gerektiği hâlde belgelendirilmeyen parti giderleri miktarınca parti mal varlığının Anayasa Mahkemesi kararıyla Hazineye irat kaydedileceği hükmü bulunmaktadır.</w:t>
      </w:r>
    </w:p>
    <w:p w:rsidR="00E07305" w:rsidRPr="00582EA7" w:rsidRDefault="00E07305" w:rsidP="00582EA7">
      <w:pPr>
        <w:spacing w:after="200"/>
        <w:ind w:right="283" w:firstLine="567"/>
        <w:jc w:val="both"/>
        <w:rPr>
          <w:rFonts w:eastAsia="Calibri"/>
          <w:color w:val="010000"/>
          <w:lang w:eastAsia="en-US"/>
        </w:rPr>
      </w:pPr>
      <w:r w:rsidRPr="00582EA7">
        <w:rPr>
          <w:rFonts w:eastAsia="Calibri"/>
          <w:color w:val="010000"/>
          <w:lang w:eastAsia="en-US"/>
        </w:rPr>
        <w:t>20. Bu hükümlere göre siyasi partilerin kesin hesaplarının dayanağını oluşturan gelir-gider belgelerini Anayasa Mahkemesine sunması gerektiğinden Partinin genel merkez kesin hesabında gösterdiği hâlde belgelendirmediği gelir-gider rakamı kadar Parti mal varlığının Hazineye irat kaydedilmesi gerekir.</w:t>
      </w:r>
    </w:p>
    <w:p w:rsidR="00E07305" w:rsidRPr="00582EA7" w:rsidRDefault="00E07305" w:rsidP="00582EA7">
      <w:pPr>
        <w:spacing w:after="200"/>
        <w:ind w:right="283" w:firstLine="567"/>
        <w:jc w:val="both"/>
        <w:rPr>
          <w:rFonts w:eastAsia="Calibri"/>
          <w:color w:val="010000"/>
          <w:lang w:eastAsia="en-US"/>
        </w:rPr>
      </w:pPr>
      <w:r w:rsidRPr="00582EA7">
        <w:rPr>
          <w:rFonts w:eastAsia="Calibri"/>
          <w:color w:val="010000"/>
          <w:lang w:eastAsia="en-US"/>
        </w:rPr>
        <w:t>21. Ayrıca Partinin kesin hesabının dayanağını oluşturan gelir-gider belgeleri ve defter kayıtlarını Sayıştay Başkanlığına göndermemesi dolayısıyla 2820 sayılı Kanun’un 75. maddesi gereğince yapılan araştırma ve incelemeleri engellediği ve aynı madde gereğince istenilen bilgi ve belgeleri vermediği tespit edilmiştir.</w:t>
      </w:r>
    </w:p>
    <w:p w:rsidR="00E07305" w:rsidRPr="00582EA7" w:rsidRDefault="00E07305" w:rsidP="00582EA7">
      <w:pPr>
        <w:spacing w:after="200"/>
        <w:ind w:right="283" w:firstLine="567"/>
        <w:jc w:val="both"/>
        <w:rPr>
          <w:b/>
          <w:bCs/>
          <w:color w:val="010000"/>
        </w:rPr>
      </w:pPr>
      <w:r w:rsidRPr="00582EA7">
        <w:rPr>
          <w:color w:val="010000"/>
        </w:rPr>
        <w:t>22. Kanun’un 111. maddesinin birinci fıkrasının (c) bendinde ise siyasi partilerin 75. madde gereğince yapılan inceleme ve araştırmaları engelleyen sorumluları ile aynı madde gereğince istenen bilgileri vermeyen sorumluları hakkında altı aydan bir yıla kadar hapis ve altmış milyon liradan az olmamak üzere ağır para cezası verileceği hükme bağlanmıştır.</w:t>
      </w:r>
    </w:p>
    <w:p w:rsidR="00E07305" w:rsidRPr="00582EA7" w:rsidRDefault="00E07305" w:rsidP="00582EA7">
      <w:pPr>
        <w:spacing w:after="200"/>
        <w:ind w:right="283" w:firstLine="567"/>
        <w:jc w:val="both"/>
        <w:rPr>
          <w:color w:val="010000"/>
        </w:rPr>
      </w:pPr>
      <w:r w:rsidRPr="00582EA7">
        <w:rPr>
          <w:color w:val="010000"/>
        </w:rPr>
        <w:t>23. Kanun’un 75. maddesi hükmüne aykırı olarak Parti Genel Merkezinin gelir-gider belgeleri ile defter kayıtlarını göndermeyerek inceleme ve araştırmayı engelleyen Parti sorumluları hakkında Kanun’un 111. maddesinin birinci fıkrasının (c) bendi uyarınca gerekli işlemlerin yapılmasını temin için suç duyurusunda bulunulması gerekir.</w:t>
      </w:r>
    </w:p>
    <w:p w:rsidR="00E07305" w:rsidRPr="00582EA7" w:rsidRDefault="00E07305" w:rsidP="00582EA7">
      <w:pPr>
        <w:spacing w:after="200"/>
        <w:ind w:right="283" w:firstLine="567"/>
        <w:jc w:val="both"/>
        <w:rPr>
          <w:color w:val="010000"/>
        </w:rPr>
      </w:pPr>
      <w:r w:rsidRPr="00582EA7">
        <w:rPr>
          <w:color w:val="010000"/>
        </w:rPr>
        <w:t>24. Kesin hesabın dayanağını oluşturan gelir ve giderlerin belgelendirilmemesi sebebiyle kesin hesabın denetimi gerçekleştirilemediğinden Partinin 2020 yılı hesabının 2820 sayılı Kanun uyarınca kabul edilmesi mümkün değildir.</w:t>
      </w:r>
    </w:p>
    <w:p w:rsidR="00E07305" w:rsidRPr="00582EA7" w:rsidRDefault="00E07305" w:rsidP="00582EA7">
      <w:pPr>
        <w:spacing w:after="200"/>
        <w:ind w:right="283" w:firstLine="567"/>
        <w:jc w:val="both"/>
        <w:rPr>
          <w:color w:val="010000"/>
        </w:rPr>
      </w:pPr>
      <w:r w:rsidRPr="00582EA7">
        <w:rPr>
          <w:b/>
          <w:bCs/>
          <w:color w:val="010000"/>
        </w:rPr>
        <w:t>IV. SONUÇ</w:t>
      </w:r>
    </w:p>
    <w:p w:rsidR="00E07305" w:rsidRPr="00582EA7" w:rsidRDefault="00E07305" w:rsidP="00582EA7">
      <w:pPr>
        <w:spacing w:after="200"/>
        <w:ind w:right="283" w:firstLine="567"/>
        <w:jc w:val="both"/>
        <w:rPr>
          <w:color w:val="010000"/>
        </w:rPr>
      </w:pPr>
      <w:r w:rsidRPr="00582EA7">
        <w:rPr>
          <w:color w:val="010000"/>
        </w:rPr>
        <w:t>Güç Birliği Partisinin 2020 yılı kesin hesabının incelenmesi sonucunda;</w:t>
      </w:r>
    </w:p>
    <w:p w:rsidR="00E07305" w:rsidRPr="00582EA7" w:rsidRDefault="00E07305" w:rsidP="00582EA7">
      <w:pPr>
        <w:spacing w:after="200"/>
        <w:ind w:right="283" w:firstLine="567"/>
        <w:jc w:val="both"/>
        <w:rPr>
          <w:color w:val="010000"/>
        </w:rPr>
      </w:pPr>
      <w:r w:rsidRPr="00582EA7">
        <w:rPr>
          <w:b/>
          <w:color w:val="010000"/>
        </w:rPr>
        <w:lastRenderedPageBreak/>
        <w:t>A.</w:t>
      </w:r>
      <w:r w:rsidR="00582EA7" w:rsidRPr="00582EA7">
        <w:rPr>
          <w:b/>
          <w:color w:val="010000"/>
        </w:rPr>
        <w:t xml:space="preserve"> </w:t>
      </w:r>
      <w:r w:rsidRPr="00582EA7">
        <w:rPr>
          <w:color w:val="010000"/>
        </w:rPr>
        <w:t>Kesin hesabının dayanağını oluşturan gelir ve giderlerini belgelendirmeyen Partinin 2020 yılı hesabının 2820 sayılı Kanun uyarınca kabul edilmesinin mümkün olmadığına,</w:t>
      </w:r>
    </w:p>
    <w:p w:rsidR="00E07305" w:rsidRPr="00582EA7" w:rsidRDefault="00E07305" w:rsidP="00582EA7">
      <w:pPr>
        <w:spacing w:after="200"/>
        <w:ind w:right="283" w:firstLine="567"/>
        <w:jc w:val="both"/>
        <w:rPr>
          <w:color w:val="010000"/>
        </w:rPr>
      </w:pPr>
      <w:r w:rsidRPr="00582EA7">
        <w:rPr>
          <w:b/>
          <w:color w:val="010000"/>
        </w:rPr>
        <w:t>B.</w:t>
      </w:r>
      <w:r w:rsidR="00582EA7" w:rsidRPr="00582EA7">
        <w:rPr>
          <w:color w:val="010000"/>
        </w:rPr>
        <w:t xml:space="preserve"> </w:t>
      </w:r>
      <w:r w:rsidRPr="00582EA7">
        <w:rPr>
          <w:color w:val="010000"/>
        </w:rPr>
        <w:t xml:space="preserve">2820 sayılı Siyasi Partiler Kanunu’nun 75. ve 76. maddelerine göre; Genel Merkez kesin hesabının dayanağını oluşturan gelir-gider belgeleri ve defter kayıtlarını Anayasa Mahkemesine sunmayan ve gelir ve giderlerini belgelendirmeyen Partinin Genel Merkez kesin hesabında gösterdiği </w:t>
      </w:r>
      <w:r w:rsidRPr="00582EA7">
        <w:rPr>
          <w:color w:val="010000"/>
          <w:szCs w:val="19"/>
          <w:shd w:val="clear" w:color="auto" w:fill="FFFFFF"/>
        </w:rPr>
        <w:t xml:space="preserve">196.016 </w:t>
      </w:r>
      <w:r w:rsidRPr="00582EA7">
        <w:rPr>
          <w:color w:val="010000"/>
        </w:rPr>
        <w:t>TL gelir tutarı ve 196.016 TL gider tutarı olmak üzere toplam 392.032 TL karşılığı Parti malvarlığının toplamı kadar parti malvarlığının Hazineye irat kaydedilmesine,</w:t>
      </w:r>
    </w:p>
    <w:p w:rsidR="00E07305" w:rsidRPr="00582EA7" w:rsidRDefault="00E07305" w:rsidP="00582EA7">
      <w:pPr>
        <w:spacing w:after="200"/>
        <w:ind w:right="283" w:firstLine="567"/>
        <w:jc w:val="both"/>
        <w:rPr>
          <w:color w:val="010000"/>
        </w:rPr>
      </w:pPr>
      <w:r w:rsidRPr="00582EA7">
        <w:rPr>
          <w:b/>
          <w:color w:val="010000"/>
        </w:rPr>
        <w:t>C.</w:t>
      </w:r>
      <w:r w:rsidRPr="00582EA7">
        <w:rPr>
          <w:color w:val="010000"/>
        </w:rPr>
        <w:t xml:space="preserve"> Genel Merkez kesin hesabının dayanağını oluşturan gelir-gider belgeleri ile bu belgelerin kaydedildiği defterlerin gönderilmemesinden dolayı Parti sorumluları hakkında 2820 sayılı Kanun’un 111. maddesinin birinci fıkrasının (c) bendine istinaden gerekli işlemlerin yapılabilmesi için Ankara Cumhuriyet Başsavcılığına suç duyurusunda bulunulmasına,</w:t>
      </w:r>
    </w:p>
    <w:p w:rsidR="00E07305" w:rsidRPr="00582EA7" w:rsidRDefault="00E07305" w:rsidP="00582EA7">
      <w:pPr>
        <w:autoSpaceDN w:val="0"/>
        <w:adjustRightInd w:val="0"/>
        <w:spacing w:after="200"/>
        <w:ind w:right="283" w:firstLine="567"/>
        <w:jc w:val="both"/>
        <w:rPr>
          <w:color w:val="010000"/>
        </w:rPr>
      </w:pPr>
      <w:r w:rsidRPr="00582EA7">
        <w:rPr>
          <w:color w:val="010000"/>
        </w:rPr>
        <w:t>25/12/2025 tarihinde OYBİRLİĞİYLE karar verildi.</w:t>
      </w:r>
    </w:p>
    <w:p w:rsidR="00582EA7" w:rsidRDefault="00582EA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07305" w:rsidRPr="00582EA7" w:rsidTr="00582EA7">
        <w:trPr>
          <w:trHeight w:val="1600"/>
          <w:jc w:val="center"/>
        </w:trPr>
        <w:tc>
          <w:tcPr>
            <w:tcW w:w="1642" w:type="pct"/>
            <w:vAlign w:val="center"/>
            <w:hideMark/>
          </w:tcPr>
          <w:p w:rsidR="00E07305" w:rsidRPr="00582EA7" w:rsidRDefault="00E07305" w:rsidP="00582EA7">
            <w:pPr>
              <w:spacing w:after="120"/>
              <w:jc w:val="center"/>
              <w:rPr>
                <w:color w:val="010000"/>
              </w:rPr>
            </w:pPr>
            <w:r w:rsidRPr="00582EA7">
              <w:rPr>
                <w:color w:val="010000"/>
              </w:rPr>
              <w:t>Başkan</w:t>
            </w:r>
          </w:p>
          <w:p w:rsidR="00E07305" w:rsidRPr="00582EA7" w:rsidRDefault="00E07305" w:rsidP="00582EA7">
            <w:pPr>
              <w:spacing w:after="120"/>
              <w:jc w:val="center"/>
              <w:rPr>
                <w:color w:val="010000"/>
              </w:rPr>
            </w:pPr>
            <w:r w:rsidRPr="00582EA7">
              <w:rPr>
                <w:color w:val="010000"/>
              </w:rPr>
              <w:t>Kadir ÖZKAYA</w:t>
            </w:r>
          </w:p>
        </w:tc>
        <w:tc>
          <w:tcPr>
            <w:tcW w:w="1679" w:type="pct"/>
            <w:vAlign w:val="center"/>
            <w:hideMark/>
          </w:tcPr>
          <w:p w:rsidR="00E07305" w:rsidRPr="00582EA7" w:rsidRDefault="00E07305" w:rsidP="00582EA7">
            <w:pPr>
              <w:spacing w:after="120"/>
              <w:jc w:val="center"/>
              <w:rPr>
                <w:color w:val="010000"/>
              </w:rPr>
            </w:pPr>
            <w:bookmarkStart w:id="0" w:name="_GoBack"/>
            <w:bookmarkEnd w:id="0"/>
            <w:r w:rsidRPr="00582EA7">
              <w:rPr>
                <w:color w:val="010000"/>
              </w:rPr>
              <w:t>Başkanvekili</w:t>
            </w:r>
          </w:p>
          <w:p w:rsidR="00E07305" w:rsidRPr="00582EA7" w:rsidRDefault="00E07305" w:rsidP="00582EA7">
            <w:pPr>
              <w:spacing w:after="120"/>
              <w:jc w:val="center"/>
              <w:rPr>
                <w:color w:val="010000"/>
              </w:rPr>
            </w:pPr>
            <w:r w:rsidRPr="00582EA7">
              <w:rPr>
                <w:color w:val="010000"/>
              </w:rPr>
              <w:t>Hasan Tahsin GÖKCAN</w:t>
            </w:r>
          </w:p>
        </w:tc>
        <w:tc>
          <w:tcPr>
            <w:tcW w:w="1679" w:type="pct"/>
            <w:vAlign w:val="center"/>
            <w:hideMark/>
          </w:tcPr>
          <w:p w:rsidR="00E07305" w:rsidRPr="00582EA7" w:rsidRDefault="00E07305" w:rsidP="00582EA7">
            <w:pPr>
              <w:spacing w:after="120"/>
              <w:jc w:val="center"/>
              <w:rPr>
                <w:color w:val="010000"/>
              </w:rPr>
            </w:pPr>
            <w:r w:rsidRPr="00582EA7">
              <w:rPr>
                <w:color w:val="010000"/>
              </w:rPr>
              <w:t xml:space="preserve">Başkanvekili </w:t>
            </w:r>
          </w:p>
          <w:p w:rsidR="00E07305" w:rsidRPr="00582EA7" w:rsidRDefault="00E07305" w:rsidP="00582EA7">
            <w:pPr>
              <w:spacing w:after="120"/>
              <w:jc w:val="center"/>
              <w:rPr>
                <w:color w:val="010000"/>
              </w:rPr>
            </w:pPr>
            <w:r w:rsidRPr="00582EA7">
              <w:rPr>
                <w:color w:val="010000"/>
              </w:rPr>
              <w:t>Basri BAĞCI</w:t>
            </w:r>
          </w:p>
        </w:tc>
      </w:tr>
      <w:tr w:rsidR="00E07305" w:rsidRPr="00582EA7" w:rsidTr="00582EA7">
        <w:trPr>
          <w:trHeight w:val="1600"/>
          <w:jc w:val="center"/>
        </w:trPr>
        <w:tc>
          <w:tcPr>
            <w:tcW w:w="1642" w:type="pct"/>
            <w:vAlign w:val="center"/>
            <w:hideMark/>
          </w:tcPr>
          <w:p w:rsidR="00E07305" w:rsidRPr="00582EA7" w:rsidRDefault="00E07305" w:rsidP="00582EA7">
            <w:pPr>
              <w:spacing w:after="120"/>
              <w:jc w:val="center"/>
              <w:rPr>
                <w:color w:val="010000"/>
              </w:rPr>
            </w:pPr>
            <w:r w:rsidRPr="00582EA7">
              <w:rPr>
                <w:color w:val="010000"/>
              </w:rPr>
              <w:t xml:space="preserve">Üye </w:t>
            </w:r>
          </w:p>
          <w:p w:rsidR="00E07305" w:rsidRPr="00582EA7" w:rsidRDefault="00E07305" w:rsidP="00582EA7">
            <w:pPr>
              <w:spacing w:after="120"/>
              <w:jc w:val="center"/>
              <w:rPr>
                <w:color w:val="010000"/>
              </w:rPr>
            </w:pPr>
            <w:r w:rsidRPr="00582EA7">
              <w:rPr>
                <w:color w:val="010000"/>
              </w:rPr>
              <w:t>Engin YILDIRIM</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color w:val="010000"/>
              </w:rPr>
            </w:pPr>
            <w:r w:rsidRPr="00582EA7">
              <w:rPr>
                <w:color w:val="010000"/>
              </w:rPr>
              <w:t>Rıdvan GÜLEÇ</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color w:val="010000"/>
              </w:rPr>
            </w:pPr>
            <w:r w:rsidRPr="00582EA7">
              <w:rPr>
                <w:bCs/>
                <w:color w:val="010000"/>
              </w:rPr>
              <w:t>Recai AKYEL</w:t>
            </w:r>
          </w:p>
        </w:tc>
      </w:tr>
      <w:tr w:rsidR="00E07305" w:rsidRPr="00582EA7" w:rsidTr="00582EA7">
        <w:trPr>
          <w:trHeight w:val="1600"/>
          <w:jc w:val="center"/>
        </w:trPr>
        <w:tc>
          <w:tcPr>
            <w:tcW w:w="1642" w:type="pct"/>
            <w:vAlign w:val="center"/>
            <w:hideMark/>
          </w:tcPr>
          <w:p w:rsidR="00E07305" w:rsidRPr="00582EA7" w:rsidRDefault="00E07305" w:rsidP="00582EA7">
            <w:pPr>
              <w:spacing w:after="120"/>
              <w:jc w:val="center"/>
              <w:rPr>
                <w:color w:val="010000"/>
              </w:rPr>
            </w:pPr>
            <w:r w:rsidRPr="00582EA7">
              <w:rPr>
                <w:color w:val="010000"/>
              </w:rPr>
              <w:t xml:space="preserve">Üye </w:t>
            </w:r>
          </w:p>
          <w:p w:rsidR="00E07305" w:rsidRPr="00582EA7" w:rsidRDefault="00E07305" w:rsidP="00582EA7">
            <w:pPr>
              <w:spacing w:after="120"/>
              <w:jc w:val="center"/>
              <w:rPr>
                <w:color w:val="010000"/>
              </w:rPr>
            </w:pPr>
            <w:r w:rsidRPr="00582EA7">
              <w:rPr>
                <w:bCs/>
                <w:color w:val="010000"/>
              </w:rPr>
              <w:t>Yusuf Şevki HAKYEMEZ</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color w:val="010000"/>
              </w:rPr>
            </w:pPr>
            <w:r w:rsidRPr="00582EA7">
              <w:rPr>
                <w:bCs/>
                <w:color w:val="010000"/>
              </w:rPr>
              <w:t>Yıldız SEFERİNOĞLU</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color w:val="010000"/>
              </w:rPr>
            </w:pPr>
            <w:r w:rsidRPr="00582EA7">
              <w:rPr>
                <w:color w:val="010000"/>
              </w:rPr>
              <w:t>Selahaddin MENTEŞ</w:t>
            </w:r>
          </w:p>
        </w:tc>
      </w:tr>
      <w:tr w:rsidR="00E07305" w:rsidRPr="00582EA7" w:rsidTr="00582EA7">
        <w:trPr>
          <w:trHeight w:val="1600"/>
          <w:jc w:val="center"/>
        </w:trPr>
        <w:tc>
          <w:tcPr>
            <w:tcW w:w="1642" w:type="pct"/>
            <w:vAlign w:val="center"/>
            <w:hideMark/>
          </w:tcPr>
          <w:p w:rsidR="00E07305" w:rsidRPr="00582EA7" w:rsidRDefault="00E07305" w:rsidP="00582EA7">
            <w:pPr>
              <w:spacing w:after="120"/>
              <w:jc w:val="center"/>
              <w:rPr>
                <w:color w:val="010000"/>
              </w:rPr>
            </w:pPr>
            <w:r w:rsidRPr="00582EA7">
              <w:rPr>
                <w:color w:val="010000"/>
              </w:rPr>
              <w:t xml:space="preserve">Üye </w:t>
            </w:r>
          </w:p>
          <w:p w:rsidR="00E07305" w:rsidRPr="00582EA7" w:rsidRDefault="00E07305" w:rsidP="00582EA7">
            <w:pPr>
              <w:spacing w:after="120"/>
              <w:jc w:val="center"/>
              <w:rPr>
                <w:color w:val="010000"/>
              </w:rPr>
            </w:pPr>
            <w:r w:rsidRPr="00582EA7">
              <w:rPr>
                <w:bCs/>
                <w:color w:val="010000"/>
              </w:rPr>
              <w:t>İrfan FİDAN</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color w:val="010000"/>
              </w:rPr>
            </w:pPr>
            <w:r w:rsidRPr="00582EA7">
              <w:rPr>
                <w:color w:val="010000"/>
              </w:rPr>
              <w:t>Kenan YAŞAR</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color w:val="010000"/>
              </w:rPr>
            </w:pPr>
            <w:r w:rsidRPr="00582EA7">
              <w:rPr>
                <w:color w:val="010000"/>
              </w:rPr>
              <w:t>Muhterem İNCE</w:t>
            </w:r>
          </w:p>
        </w:tc>
      </w:tr>
      <w:tr w:rsidR="00E07305" w:rsidRPr="00582EA7" w:rsidTr="00582EA7">
        <w:trPr>
          <w:trHeight w:val="1600"/>
          <w:jc w:val="center"/>
        </w:trPr>
        <w:tc>
          <w:tcPr>
            <w:tcW w:w="1642" w:type="pct"/>
            <w:vAlign w:val="center"/>
            <w:hideMark/>
          </w:tcPr>
          <w:p w:rsidR="00E07305" w:rsidRPr="00582EA7" w:rsidRDefault="00E07305" w:rsidP="00582EA7">
            <w:pPr>
              <w:spacing w:after="120"/>
              <w:jc w:val="center"/>
              <w:rPr>
                <w:color w:val="010000"/>
              </w:rPr>
            </w:pPr>
            <w:r w:rsidRPr="00582EA7">
              <w:rPr>
                <w:color w:val="010000"/>
              </w:rPr>
              <w:t xml:space="preserve">Üye </w:t>
            </w:r>
          </w:p>
          <w:p w:rsidR="00E07305" w:rsidRPr="00582EA7" w:rsidRDefault="00E07305" w:rsidP="00582EA7">
            <w:pPr>
              <w:spacing w:after="120"/>
              <w:jc w:val="center"/>
              <w:rPr>
                <w:color w:val="010000"/>
              </w:rPr>
            </w:pPr>
            <w:r w:rsidRPr="00582EA7">
              <w:rPr>
                <w:bCs/>
                <w:color w:val="010000"/>
              </w:rPr>
              <w:t>Yılmaz AKÇİL</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bCs/>
                <w:color w:val="010000"/>
              </w:rPr>
            </w:pPr>
            <w:r w:rsidRPr="00582EA7">
              <w:rPr>
                <w:bCs/>
                <w:color w:val="010000"/>
              </w:rPr>
              <w:t>Ömer ÇINAR</w:t>
            </w:r>
          </w:p>
        </w:tc>
        <w:tc>
          <w:tcPr>
            <w:tcW w:w="1679" w:type="pct"/>
            <w:vAlign w:val="center"/>
            <w:hideMark/>
          </w:tcPr>
          <w:p w:rsidR="00E07305" w:rsidRPr="00582EA7" w:rsidRDefault="00E07305" w:rsidP="00582EA7">
            <w:pPr>
              <w:spacing w:after="120"/>
              <w:jc w:val="center"/>
              <w:rPr>
                <w:color w:val="010000"/>
              </w:rPr>
            </w:pPr>
            <w:r w:rsidRPr="00582EA7">
              <w:rPr>
                <w:color w:val="010000"/>
              </w:rPr>
              <w:t>Üye</w:t>
            </w:r>
          </w:p>
          <w:p w:rsidR="00E07305" w:rsidRPr="00582EA7" w:rsidRDefault="00E07305" w:rsidP="00582EA7">
            <w:pPr>
              <w:spacing w:after="120"/>
              <w:jc w:val="center"/>
              <w:rPr>
                <w:color w:val="010000"/>
              </w:rPr>
            </w:pPr>
            <w:r w:rsidRPr="00582EA7">
              <w:rPr>
                <w:color w:val="010000"/>
              </w:rPr>
              <w:t>Metin KIRATLI</w:t>
            </w:r>
          </w:p>
        </w:tc>
      </w:tr>
    </w:tbl>
    <w:p w:rsidR="00E07305" w:rsidRPr="00582EA7" w:rsidRDefault="00E07305" w:rsidP="00582EA7">
      <w:pPr>
        <w:spacing w:after="200"/>
        <w:ind w:right="283" w:firstLine="567"/>
        <w:jc w:val="both"/>
        <w:rPr>
          <w:color w:val="010000"/>
        </w:rPr>
      </w:pPr>
    </w:p>
    <w:sectPr w:rsidR="00E07305" w:rsidRPr="00582EA7" w:rsidSect="00582EA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AF" w:rsidRDefault="00E07DAF" w:rsidP="00102C44">
      <w:r>
        <w:separator/>
      </w:r>
    </w:p>
  </w:endnote>
  <w:endnote w:type="continuationSeparator" w:id="0">
    <w:p w:rsidR="00E07DAF" w:rsidRDefault="00E07DAF" w:rsidP="0010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A7" w:rsidRDefault="00582EA7" w:rsidP="001C28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82EA7" w:rsidRDefault="00582EA7" w:rsidP="00582EA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A7" w:rsidRPr="00582EA7" w:rsidRDefault="00582EA7" w:rsidP="001C283D">
    <w:pPr>
      <w:pStyle w:val="AltBilgi"/>
      <w:framePr w:wrap="around" w:vAnchor="text" w:hAnchor="margin" w:xAlign="right" w:y="1"/>
      <w:rPr>
        <w:rStyle w:val="SayfaNumaras"/>
      </w:rPr>
    </w:pPr>
    <w:r w:rsidRPr="00582EA7">
      <w:rPr>
        <w:rStyle w:val="SayfaNumaras"/>
      </w:rPr>
      <w:fldChar w:fldCharType="begin"/>
    </w:r>
    <w:r w:rsidRPr="00582EA7">
      <w:rPr>
        <w:rStyle w:val="SayfaNumaras"/>
      </w:rPr>
      <w:instrText xml:space="preserve"> PAGE </w:instrText>
    </w:r>
    <w:r w:rsidRPr="00582EA7">
      <w:rPr>
        <w:rStyle w:val="SayfaNumaras"/>
      </w:rPr>
      <w:fldChar w:fldCharType="separate"/>
    </w:r>
    <w:r w:rsidRPr="00582EA7">
      <w:rPr>
        <w:rStyle w:val="SayfaNumaras"/>
        <w:noProof/>
      </w:rPr>
      <w:t>6</w:t>
    </w:r>
    <w:r w:rsidRPr="00582EA7">
      <w:rPr>
        <w:rStyle w:val="SayfaNumaras"/>
      </w:rPr>
      <w:fldChar w:fldCharType="end"/>
    </w:r>
  </w:p>
  <w:p w:rsidR="00102C44" w:rsidRDefault="00102C44" w:rsidP="00582EA7">
    <w:pPr>
      <w:pStyle w:val="AltBilgi"/>
      <w:ind w:right="360"/>
      <w:jc w:val="right"/>
    </w:pPr>
  </w:p>
  <w:p w:rsidR="00102C44" w:rsidRDefault="00102C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AF" w:rsidRDefault="00E07DAF" w:rsidP="00102C44">
      <w:r>
        <w:separator/>
      </w:r>
    </w:p>
  </w:footnote>
  <w:footnote w:type="continuationSeparator" w:id="0">
    <w:p w:rsidR="00E07DAF" w:rsidRDefault="00E07DAF" w:rsidP="0010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A7" w:rsidRPr="00582EA7" w:rsidRDefault="00582EA7" w:rsidP="00582EA7">
    <w:pPr>
      <w:pStyle w:val="stBilgi"/>
      <w:rPr>
        <w:b/>
      </w:rPr>
    </w:pPr>
    <w:r w:rsidRPr="00582EA7">
      <w:rPr>
        <w:b/>
      </w:rPr>
      <w:t xml:space="preserve">Esas </w:t>
    </w:r>
    <w:proofErr w:type="gramStart"/>
    <w:r w:rsidRPr="00582EA7">
      <w:rPr>
        <w:b/>
      </w:rPr>
      <w:t>Sayısı :</w:t>
    </w:r>
    <w:proofErr w:type="gramEnd"/>
    <w:r w:rsidRPr="00582EA7">
      <w:rPr>
        <w:b/>
      </w:rPr>
      <w:t xml:space="preserve"> 2021/75 (Siyasi Parti Mali Denetimi)</w:t>
    </w:r>
  </w:p>
  <w:p w:rsidR="00582EA7" w:rsidRDefault="00582EA7" w:rsidP="00582EA7">
    <w:pPr>
      <w:pStyle w:val="stBilgi"/>
      <w:rPr>
        <w:b/>
      </w:rPr>
    </w:pPr>
    <w:r>
      <w:rPr>
        <w:b/>
      </w:rPr>
      <w:t xml:space="preserve">Karar </w:t>
    </w:r>
    <w:proofErr w:type="gramStart"/>
    <w:r>
      <w:rPr>
        <w:b/>
      </w:rPr>
      <w:t>Sayısı :</w:t>
    </w:r>
    <w:proofErr w:type="gramEnd"/>
    <w:r>
      <w:rPr>
        <w:b/>
      </w:rPr>
      <w:t xml:space="preserve"> 2025/106</w:t>
    </w:r>
  </w:p>
  <w:p w:rsidR="00102C44" w:rsidRPr="00582EA7" w:rsidRDefault="00102C44" w:rsidP="00582EA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2C44"/>
    <w:rsid w:val="002C38B7"/>
    <w:rsid w:val="00452F64"/>
    <w:rsid w:val="00582EA7"/>
    <w:rsid w:val="00952B5F"/>
    <w:rsid w:val="009D6FA2"/>
    <w:rsid w:val="00B00DE3"/>
    <w:rsid w:val="00CE0523"/>
    <w:rsid w:val="00E07305"/>
    <w:rsid w:val="00E07DAF"/>
    <w:rsid w:val="00F35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3420B-9CFB-4015-B1C6-679F0BC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02C44"/>
    <w:pPr>
      <w:tabs>
        <w:tab w:val="center" w:pos="4536"/>
        <w:tab w:val="right" w:pos="9072"/>
      </w:tabs>
    </w:pPr>
  </w:style>
  <w:style w:type="character" w:customStyle="1" w:styleId="stBilgiChar">
    <w:name w:val="Üst Bilgi Char"/>
    <w:link w:val="stBilgi"/>
    <w:uiPriority w:val="99"/>
    <w:rsid w:val="00102C44"/>
    <w:rPr>
      <w:sz w:val="24"/>
      <w:szCs w:val="24"/>
    </w:rPr>
  </w:style>
  <w:style w:type="paragraph" w:styleId="AltBilgi">
    <w:name w:val="footer"/>
    <w:basedOn w:val="Normal"/>
    <w:link w:val="AltBilgiChar"/>
    <w:uiPriority w:val="99"/>
    <w:rsid w:val="00102C44"/>
    <w:pPr>
      <w:tabs>
        <w:tab w:val="center" w:pos="4536"/>
        <w:tab w:val="right" w:pos="9072"/>
      </w:tabs>
    </w:pPr>
  </w:style>
  <w:style w:type="character" w:customStyle="1" w:styleId="AltBilgiChar">
    <w:name w:val="Alt Bilgi Char"/>
    <w:link w:val="AltBilgi"/>
    <w:uiPriority w:val="99"/>
    <w:rsid w:val="00102C44"/>
    <w:rPr>
      <w:sz w:val="24"/>
      <w:szCs w:val="24"/>
    </w:rPr>
  </w:style>
  <w:style w:type="paragraph" w:styleId="BalonMetni">
    <w:name w:val="Balloon Text"/>
    <w:basedOn w:val="Normal"/>
    <w:link w:val="BalonMetniChar"/>
    <w:rsid w:val="002C38B7"/>
    <w:rPr>
      <w:rFonts w:ascii="Segoe UI" w:hAnsi="Segoe UI" w:cs="Segoe UI"/>
      <w:sz w:val="18"/>
      <w:szCs w:val="18"/>
    </w:rPr>
  </w:style>
  <w:style w:type="character" w:customStyle="1" w:styleId="BalonMetniChar">
    <w:name w:val="Balon Metni Char"/>
    <w:basedOn w:val="VarsaylanParagrafYazTipi"/>
    <w:link w:val="BalonMetni"/>
    <w:rsid w:val="002C38B7"/>
    <w:rPr>
      <w:rFonts w:ascii="Segoe UI" w:hAnsi="Segoe UI" w:cs="Segoe UI"/>
      <w:sz w:val="18"/>
      <w:szCs w:val="18"/>
    </w:rPr>
  </w:style>
  <w:style w:type="character" w:styleId="SayfaNumaras">
    <w:name w:val="page number"/>
    <w:basedOn w:val="VarsaylanParagrafYazTipi"/>
    <w:rsid w:val="0058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2344</Words>
  <Characters>13363</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2026-03-10T12:38:00Z</cp:lastPrinted>
  <dcterms:created xsi:type="dcterms:W3CDTF">2026-03-24T05:42:00Z</dcterms:created>
  <dcterms:modified xsi:type="dcterms:W3CDTF">2026-03-24T05:42:00Z</dcterms:modified>
</cp:coreProperties>
</file>