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5FB" w:rsidRDefault="002B25FB" w:rsidP="002B25FB">
      <w:pPr>
        <w:spacing w:after="200" w:line="240" w:lineRule="auto"/>
        <w:ind w:right="283"/>
        <w:jc w:val="center"/>
        <w:rPr>
          <w:rFonts w:ascii="Times New Roman" w:eastAsia="Times New Roman" w:hAnsi="Times New Roman" w:cs="Times New Roman"/>
          <w:b/>
          <w:bCs/>
          <w:caps/>
          <w:color w:val="010000"/>
          <w:sz w:val="24"/>
          <w:szCs w:val="27"/>
          <w:lang w:eastAsia="tr-TR"/>
        </w:rPr>
      </w:pPr>
      <w:r w:rsidRPr="002B25FB">
        <w:rPr>
          <w:rFonts w:ascii="Times New Roman" w:eastAsia="Times New Roman" w:hAnsi="Times New Roman" w:cs="Times New Roman"/>
          <w:b/>
          <w:bCs/>
          <w:caps/>
          <w:color w:val="010000"/>
          <w:sz w:val="24"/>
          <w:szCs w:val="27"/>
          <w:lang w:eastAsia="tr-TR"/>
        </w:rPr>
        <w:t>ANAYASA MAHKEMESİ KARARI</w:t>
      </w:r>
    </w:p>
    <w:p w:rsidR="002B25FB" w:rsidRPr="002B25FB" w:rsidRDefault="002B25FB" w:rsidP="002B25FB">
      <w:pPr>
        <w:spacing w:after="200" w:line="240" w:lineRule="auto"/>
        <w:ind w:right="283" w:firstLine="709"/>
        <w:jc w:val="center"/>
        <w:rPr>
          <w:rFonts w:ascii="Times New Roman" w:eastAsia="Times New Roman" w:hAnsi="Times New Roman" w:cs="Times New Roman"/>
          <w:b/>
          <w:caps/>
          <w:color w:val="010000"/>
          <w:sz w:val="24"/>
          <w:szCs w:val="27"/>
          <w:lang w:eastAsia="tr-TR"/>
        </w:rPr>
      </w:pPr>
    </w:p>
    <w:p w:rsidR="002B25FB" w:rsidRDefault="002B25FB" w:rsidP="002B25FB">
      <w:pPr>
        <w:spacing w:after="0" w:line="240" w:lineRule="auto"/>
        <w:rPr>
          <w:rFonts w:ascii="Times New Roman" w:eastAsia="Times New Roman" w:hAnsi="Times New Roman" w:cs="Times New Roman"/>
          <w:b/>
          <w:bCs/>
          <w:color w:val="010000"/>
          <w:sz w:val="24"/>
          <w:szCs w:val="24"/>
          <w:lang w:eastAsia="tr-TR"/>
        </w:rPr>
      </w:pPr>
      <w:r>
        <w:rPr>
          <w:rFonts w:ascii="Times New Roman" w:eastAsia="Times New Roman" w:hAnsi="Times New Roman" w:cs="Times New Roman"/>
          <w:b/>
          <w:bCs/>
          <w:color w:val="010000"/>
          <w:sz w:val="24"/>
          <w:szCs w:val="24"/>
          <w:lang w:eastAsia="tr-TR"/>
        </w:rPr>
        <w:t>Esas Sayısı:2019/71 (Siyasi Parti Mali Denetimi)</w:t>
      </w:r>
    </w:p>
    <w:p w:rsidR="002B25FB" w:rsidRDefault="002B25FB" w:rsidP="002B25FB">
      <w:pPr>
        <w:spacing w:after="0" w:line="240" w:lineRule="auto"/>
        <w:rPr>
          <w:rFonts w:ascii="Times New Roman" w:hAnsi="Times New Roman" w:cs="Times New Roman"/>
          <w:b/>
          <w:bCs/>
          <w:color w:val="010000"/>
          <w:sz w:val="24"/>
          <w:szCs w:val="24"/>
        </w:rPr>
      </w:pPr>
      <w:r>
        <w:rPr>
          <w:rFonts w:ascii="Times New Roman" w:hAnsi="Times New Roman" w:cs="Times New Roman"/>
          <w:b/>
          <w:bCs/>
          <w:color w:val="010000"/>
          <w:sz w:val="24"/>
          <w:szCs w:val="24"/>
        </w:rPr>
        <w:t>Karar Sayısı:2019/46</w:t>
      </w:r>
    </w:p>
    <w:p w:rsidR="002B25FB" w:rsidRDefault="002B25FB" w:rsidP="002B25FB">
      <w:pPr>
        <w:spacing w:after="0" w:line="240" w:lineRule="auto"/>
        <w:rPr>
          <w:rFonts w:ascii="Times New Roman" w:hAnsi="Times New Roman" w:cs="Times New Roman"/>
          <w:b/>
          <w:bCs/>
          <w:color w:val="010000"/>
          <w:sz w:val="24"/>
          <w:szCs w:val="24"/>
        </w:rPr>
      </w:pPr>
      <w:r>
        <w:rPr>
          <w:rFonts w:ascii="Times New Roman" w:hAnsi="Times New Roman" w:cs="Times New Roman"/>
          <w:b/>
          <w:bCs/>
          <w:color w:val="010000"/>
          <w:sz w:val="24"/>
          <w:szCs w:val="24"/>
        </w:rPr>
        <w:t>Karar Tarihi:4/12/2019</w:t>
      </w:r>
    </w:p>
    <w:p w:rsidR="002B25FB" w:rsidRDefault="002B25FB" w:rsidP="002B25FB">
      <w:pPr>
        <w:spacing w:after="0" w:line="240" w:lineRule="auto"/>
        <w:rPr>
          <w:rFonts w:ascii="Times New Roman" w:hAnsi="Times New Roman" w:cs="Times New Roman"/>
          <w:b/>
          <w:bCs/>
          <w:color w:val="010000"/>
          <w:sz w:val="24"/>
          <w:szCs w:val="24"/>
        </w:rPr>
      </w:pPr>
      <w:r>
        <w:rPr>
          <w:rFonts w:ascii="Times New Roman" w:hAnsi="Times New Roman" w:cs="Times New Roman"/>
          <w:b/>
          <w:bCs/>
          <w:color w:val="010000"/>
          <w:sz w:val="24"/>
          <w:szCs w:val="24"/>
        </w:rPr>
        <w:t>R.</w:t>
      </w:r>
      <w:proofErr w:type="gramStart"/>
      <w:r>
        <w:rPr>
          <w:rFonts w:ascii="Times New Roman" w:hAnsi="Times New Roman" w:cs="Times New Roman"/>
          <w:b/>
          <w:bCs/>
          <w:color w:val="010000"/>
          <w:sz w:val="24"/>
          <w:szCs w:val="24"/>
        </w:rPr>
        <w:t>G.Tarih</w:t>
      </w:r>
      <w:proofErr w:type="gramEnd"/>
      <w:r>
        <w:rPr>
          <w:rFonts w:ascii="Times New Roman" w:hAnsi="Times New Roman" w:cs="Times New Roman"/>
          <w:b/>
          <w:bCs/>
          <w:color w:val="010000"/>
          <w:sz w:val="24"/>
          <w:szCs w:val="24"/>
        </w:rPr>
        <w:t>-Sayısı:12/2/2020-31037</w:t>
      </w:r>
    </w:p>
    <w:p w:rsidR="002B25FB" w:rsidRPr="002B25FB" w:rsidRDefault="002B25FB" w:rsidP="002B25FB">
      <w:pPr>
        <w:spacing w:after="0" w:line="240" w:lineRule="auto"/>
        <w:rPr>
          <w:rFonts w:ascii="Times New Roman" w:hAnsi="Times New Roman" w:cs="Times New Roman"/>
          <w:b/>
          <w:bCs/>
          <w:color w:val="010000"/>
          <w:sz w:val="24"/>
          <w:szCs w:val="24"/>
        </w:rPr>
      </w:pP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b/>
          <w:bCs/>
          <w:color w:val="010000"/>
          <w:sz w:val="24"/>
          <w:szCs w:val="24"/>
          <w:lang w:eastAsia="tr-TR"/>
        </w:rPr>
        <w:t>I. MALİ DENETİMİN KONUSU</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color w:val="010000"/>
          <w:sz w:val="24"/>
          <w:szCs w:val="24"/>
          <w:lang w:eastAsia="tr-TR"/>
        </w:rPr>
        <w:t>Yenilikçi ve Değişim Partisinin</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2018 yılı kesin hesabının incelenmesidir.</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b/>
          <w:bCs/>
          <w:color w:val="010000"/>
          <w:sz w:val="24"/>
          <w:szCs w:val="24"/>
          <w:lang w:eastAsia="tr-TR"/>
        </w:rPr>
        <w:t>II. İLK İNCELEME</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color w:val="010000"/>
          <w:sz w:val="24"/>
          <w:szCs w:val="24"/>
          <w:lang w:eastAsia="tr-TR"/>
        </w:rPr>
        <w:t>1. Yenilikçi ve Değişim Partisinin Anayasa Mahkemesine verdiği 2018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color w:val="010000"/>
          <w:sz w:val="24"/>
          <w:szCs w:val="24"/>
          <w:lang w:eastAsia="tr-TR"/>
        </w:rPr>
        <w:t>2.</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Parti Genel Başkanı tarafından gönderilen yazıda yıl içinde hiçbir gelir ve gider olmadığı ifade edilmiştir.</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color w:val="010000"/>
          <w:sz w:val="24"/>
          <w:szCs w:val="24"/>
          <w:lang w:eastAsia="tr-TR"/>
        </w:rPr>
        <w:t>3. 2820 sayılı Kanun’un 74. maddesinde “</w:t>
      </w:r>
      <w:r w:rsidRPr="002B25FB">
        <w:rPr>
          <w:rFonts w:ascii="Times New Roman" w:eastAsia="Times New Roman" w:hAnsi="Times New Roman" w:cs="Times New Roman"/>
          <w:i/>
          <w:iCs/>
          <w:color w:val="010000"/>
          <w:sz w:val="24"/>
          <w:szCs w:val="24"/>
          <w:lang w:eastAsia="tr-TR"/>
        </w:rPr>
        <w:t xml:space="preserve">Siyasi partilerin mali denetimi Anayasa Mahkemesince yapılır. Anayasa Mahkemesi, siyasi partilerin mal edinimleri ile gelir ve giderlerinin Kanuni uygunluğunu </w:t>
      </w:r>
      <w:proofErr w:type="gramStart"/>
      <w:r w:rsidRPr="002B25FB">
        <w:rPr>
          <w:rFonts w:ascii="Times New Roman" w:eastAsia="Times New Roman" w:hAnsi="Times New Roman" w:cs="Times New Roman"/>
          <w:i/>
          <w:iCs/>
          <w:color w:val="010000"/>
          <w:sz w:val="24"/>
          <w:szCs w:val="24"/>
          <w:lang w:eastAsia="tr-TR"/>
        </w:rPr>
        <w:t>denetler….</w:t>
      </w:r>
      <w:proofErr w:type="gramEnd"/>
      <w:r w:rsidRPr="002B25FB">
        <w:rPr>
          <w:rFonts w:ascii="Times New Roman" w:eastAsia="Times New Roman" w:hAnsi="Times New Roman" w:cs="Times New Roman"/>
          <w:i/>
          <w:iCs/>
          <w:color w:val="010000"/>
          <w:sz w:val="24"/>
          <w:szCs w:val="24"/>
          <w:lang w:eastAsia="tr-TR"/>
        </w:rPr>
        <w:t>/ 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2B25FB">
        <w:rPr>
          <w:rFonts w:ascii="Times New Roman" w:eastAsia="Times New Roman" w:hAnsi="Times New Roman" w:cs="Times New Roman"/>
          <w:color w:val="010000"/>
          <w:sz w:val="24"/>
          <w:szCs w:val="24"/>
          <w:lang w:eastAsia="tr-TR"/>
        </w:rPr>
        <w:t>”</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hükmü, 111. maddesinin birinci fıkrasının (b) bendinde ise siyasi partilerin</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w:t>
      </w:r>
      <w:r w:rsidRPr="002B25FB">
        <w:rPr>
          <w:rFonts w:ascii="Times New Roman" w:eastAsia="Times New Roman" w:hAnsi="Times New Roman" w:cs="Times New Roman"/>
          <w:i/>
          <w:iCs/>
          <w:color w:val="010000"/>
          <w:sz w:val="24"/>
          <w:szCs w:val="24"/>
          <w:lang w:eastAsia="tr-TR"/>
        </w:rPr>
        <w:t>74 üncü madde hükümlerine aykırı hareket eden sorumluları hakkında, üç aydan altı aya kadar hafif hapis ve on beş milyon liradan otuz milyon liraya kadar hafif para cezası”</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verileceği</w:t>
      </w:r>
      <w:r w:rsidRPr="002B25FB">
        <w:rPr>
          <w:rFonts w:ascii="Times New Roman" w:eastAsia="Times New Roman" w:hAnsi="Times New Roman" w:cs="Times New Roman"/>
          <w:i/>
          <w:iCs/>
          <w:color w:val="010000"/>
          <w:sz w:val="24"/>
          <w:szCs w:val="24"/>
          <w:lang w:eastAsia="tr-TR"/>
        </w:rPr>
        <w:t xml:space="preserve"> </w:t>
      </w:r>
      <w:proofErr w:type="gramStart"/>
      <w:r w:rsidRPr="002B25FB">
        <w:rPr>
          <w:rFonts w:ascii="Times New Roman" w:eastAsia="Times New Roman" w:hAnsi="Times New Roman" w:cs="Times New Roman"/>
          <w:color w:val="010000"/>
          <w:sz w:val="24"/>
          <w:szCs w:val="24"/>
          <w:lang w:eastAsia="tr-TR"/>
        </w:rPr>
        <w:t>hükmü</w:t>
      </w:r>
      <w:proofErr w:type="gramEnd"/>
      <w:r w:rsidRPr="002B25FB">
        <w:rPr>
          <w:rFonts w:ascii="Times New Roman" w:eastAsia="Times New Roman" w:hAnsi="Times New Roman" w:cs="Times New Roman"/>
          <w:color w:val="010000"/>
          <w:sz w:val="24"/>
          <w:szCs w:val="24"/>
          <w:lang w:eastAsia="tr-TR"/>
        </w:rPr>
        <w:t xml:space="preserve"> yer almıştır.</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color w:val="010000"/>
          <w:sz w:val="24"/>
          <w:szCs w:val="24"/>
          <w:lang w:eastAsia="tr-TR"/>
        </w:rPr>
        <w:t>4. Genel Merkez hesap cetveli ile</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Parti Merkez Karar ve Yönetim Kurulu tarafından alınmış, Parti Genel Merkezi ve il örgütlerinin kesin hesaplarının incelenip kabul edildiğine ve birleştirildiğine ilişkin karar</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ve aynı hesap döneminde edindiği taşınmaz ve değeri 100 TL’yi aşan taşınır malların, menkul kıymetlerin ve her türlü hakların değerleri ile edinim tarihlerini ve şekillerini de belirten listeleri göndermeyen Parti yetkilileri hakkında Kanun’un 111. maddesinin birinci fıkrasının (b) bendine istinaden gerekli işlemlerin yapılması için Ankara Cumhuriyet Başsavcılığına suç duyurusunda bulunulması gerekir.</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color w:val="010000"/>
          <w:sz w:val="24"/>
          <w:szCs w:val="24"/>
          <w:lang w:eastAsia="tr-TR"/>
        </w:rPr>
        <w:t>5. Ayrıca Mahkemeye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color w:val="010000"/>
          <w:sz w:val="24"/>
          <w:szCs w:val="24"/>
          <w:lang w:eastAsia="tr-TR"/>
        </w:rPr>
        <w:t>6. Diğer taraftan Parti Genel Merkez kesin hesabının denetimi gerçekleştirilemediğinden Partinin 2018 yılı hesabının 2820 sayılı Kanun uyarınca kabul edilmesi</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mümkün değildir.</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b/>
          <w:bCs/>
          <w:color w:val="010000"/>
          <w:sz w:val="24"/>
          <w:szCs w:val="24"/>
          <w:lang w:eastAsia="tr-TR"/>
        </w:rPr>
        <w:lastRenderedPageBreak/>
        <w:t>III.</w:t>
      </w:r>
      <w:r w:rsidRPr="002B25FB">
        <w:rPr>
          <w:rFonts w:ascii="Times New Roman" w:eastAsia="Times New Roman" w:hAnsi="Times New Roman" w:cs="Times New Roman"/>
          <w:b/>
          <w:bCs/>
          <w:color w:val="010000"/>
          <w:sz w:val="24"/>
          <w:szCs w:val="24"/>
          <w:lang w:eastAsia="tr-TR"/>
        </w:rPr>
        <w:t xml:space="preserve"> </w:t>
      </w:r>
      <w:r w:rsidRPr="002B25FB">
        <w:rPr>
          <w:rFonts w:ascii="Times New Roman" w:eastAsia="Times New Roman" w:hAnsi="Times New Roman" w:cs="Times New Roman"/>
          <w:b/>
          <w:bCs/>
          <w:color w:val="010000"/>
          <w:sz w:val="24"/>
          <w:szCs w:val="24"/>
          <w:lang w:eastAsia="tr-TR"/>
        </w:rPr>
        <w:t>SONUÇ</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color w:val="010000"/>
          <w:sz w:val="24"/>
          <w:szCs w:val="24"/>
          <w:lang w:eastAsia="tr-TR"/>
        </w:rPr>
        <w:t>Yenilikçi ve Değişim Partisinin</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2018 yılı kesin hesabının incelenmesi sonucunda;</w:t>
      </w:r>
      <w:r w:rsidRPr="002B25FB">
        <w:rPr>
          <w:rFonts w:ascii="Times New Roman" w:eastAsia="Times New Roman" w:hAnsi="Times New Roman" w:cs="Times New Roman"/>
          <w:color w:val="010000"/>
          <w:sz w:val="24"/>
          <w:szCs w:val="24"/>
          <w:lang w:eastAsia="tr-TR"/>
        </w:rPr>
        <w:t xml:space="preserve"> </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b/>
          <w:bCs/>
          <w:color w:val="010000"/>
          <w:sz w:val="24"/>
          <w:szCs w:val="24"/>
          <w:lang w:eastAsia="tr-TR"/>
        </w:rPr>
        <w:t>A.</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Genel Merkeze ait 2018 yılı kesin hesabı ile</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Parti Merkez Karar ve Yönetim Kurulu tarafından alınmış, Parti Genel Merkezi ve il örgütlerinin kesin hesaplarının incelenip kabul edildiğine ve birleştirildiğine ilişkin kararın</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ve Partinin 2018 yılında edindiği taşınmaz ve değeri</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100 TL’yi</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aşan taşınır malların, menkul kıymetlerin ve her türlü hakların değerleriyle edinim tarihlerini ve şekillerini gösteren listenin gönderilmemesi nedeniyle 22/4/1983 tarihli ve 2820 sayılı Siyasi Partiler Kanunu’nun 74. maddesi ve aynı Kanun’un 111. maddesinin birinci fıkrasının (b) bendi uyarınca yasal işlem yapılması için Ankara Cumhuriyet Başsavcılığına suç duyurusunda bulunulmasına,</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b/>
          <w:bCs/>
          <w:color w:val="010000"/>
          <w:sz w:val="24"/>
          <w:szCs w:val="24"/>
          <w:lang w:eastAsia="tr-TR"/>
        </w:rPr>
        <w:t>B.</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Mahkemeye hesap verilebilir şekilde kayıt ve belge düzeninin oluşturulmaması ile hesabın dışında gelir ve gider oluşturulması</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inceleme ve araştırmayı engellemeye yönelik eylemler olduğundan 2820 sayılı Kanun’un 111. maddesinin</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birinci fıkrasının</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(c) bendi uyarınca yasal işlem yapılması için Ankara Cumhuriyet Başsavcılığına suç duyurusunda bulunulmasına,</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b/>
          <w:bCs/>
          <w:color w:val="010000"/>
          <w:sz w:val="24"/>
          <w:szCs w:val="24"/>
          <w:lang w:eastAsia="tr-TR"/>
        </w:rPr>
        <w:t>C.</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Parti Genel Merkez kesin hesabının denetimi gerçekleştirilemediğinden Partinin 2018 yılı hesabının 2820 sayılı Kanun uyarınca kabul edilmesinin</w:t>
      </w:r>
      <w:r w:rsidRPr="002B25FB">
        <w:rPr>
          <w:rFonts w:ascii="Times New Roman" w:eastAsia="Times New Roman" w:hAnsi="Times New Roman" w:cs="Times New Roman"/>
          <w:color w:val="010000"/>
          <w:sz w:val="24"/>
          <w:szCs w:val="24"/>
          <w:lang w:eastAsia="tr-TR"/>
        </w:rPr>
        <w:t xml:space="preserve"> </w:t>
      </w:r>
      <w:r w:rsidRPr="002B25FB">
        <w:rPr>
          <w:rFonts w:ascii="Times New Roman" w:eastAsia="Times New Roman" w:hAnsi="Times New Roman" w:cs="Times New Roman"/>
          <w:color w:val="010000"/>
          <w:sz w:val="24"/>
          <w:szCs w:val="24"/>
          <w:lang w:eastAsia="tr-TR"/>
        </w:rPr>
        <w:t>mümkün olmadığına,</w:t>
      </w:r>
    </w:p>
    <w:p w:rsid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r w:rsidRPr="002B25FB">
        <w:rPr>
          <w:rFonts w:ascii="Times New Roman" w:eastAsia="Times New Roman" w:hAnsi="Times New Roman" w:cs="Times New Roman"/>
          <w:color w:val="010000"/>
          <w:sz w:val="24"/>
          <w:szCs w:val="24"/>
          <w:lang w:eastAsia="tr-TR"/>
        </w:rPr>
        <w:t>4/12/2019 tarihinde OYBİRLİĞİYLE karar verildi.</w:t>
      </w:r>
    </w:p>
    <w:p w:rsidR="002B25FB" w:rsidRPr="002B25FB" w:rsidRDefault="002B25FB" w:rsidP="002B25FB">
      <w:pPr>
        <w:spacing w:after="200" w:line="240" w:lineRule="auto"/>
        <w:ind w:right="283" w:firstLine="709"/>
        <w:jc w:val="both"/>
        <w:rPr>
          <w:rFonts w:ascii="Times New Roman" w:eastAsia="Times New Roman" w:hAnsi="Times New Roman" w:cs="Times New Roman"/>
          <w:color w:val="010000"/>
          <w:sz w:val="24"/>
          <w:szCs w:val="24"/>
          <w:lang w:eastAsia="tr-TR"/>
        </w:rPr>
      </w:pPr>
      <w:bookmarkStart w:id="0" w:name="_GoBack"/>
      <w:bookmarkEnd w:id="0"/>
    </w:p>
    <w:p w:rsidR="002B25FB" w:rsidRDefault="002B25FB"/>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2B25FB" w:rsidRPr="002B25FB" w:rsidTr="002B25FB">
        <w:trPr>
          <w:jc w:val="center"/>
        </w:trPr>
        <w:tc>
          <w:tcPr>
            <w:tcW w:w="1666" w:type="pct"/>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Başkan</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Zühtü ARSLAN</w:t>
            </w:r>
          </w:p>
        </w:tc>
        <w:tc>
          <w:tcPr>
            <w:tcW w:w="1666" w:type="pct"/>
            <w:gridSpan w:val="2"/>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Başkanvekili</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Hasan Tahsin GÖKCAN</w:t>
            </w:r>
          </w:p>
        </w:tc>
        <w:tc>
          <w:tcPr>
            <w:tcW w:w="1668" w:type="pct"/>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Başkanvekili</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Recep KÖMÜRCÜ</w:t>
            </w:r>
          </w:p>
        </w:tc>
      </w:tr>
      <w:tr w:rsidR="002B25FB" w:rsidRPr="002B25FB" w:rsidTr="002B25FB">
        <w:trPr>
          <w:jc w:val="center"/>
        </w:trPr>
        <w:tc>
          <w:tcPr>
            <w:tcW w:w="1666" w:type="pct"/>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 xml:space="preserve">Serdar ÖZGÜLDÜR </w:t>
            </w:r>
          </w:p>
        </w:tc>
        <w:tc>
          <w:tcPr>
            <w:tcW w:w="1666" w:type="pct"/>
            <w:gridSpan w:val="2"/>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Burhan ÜSTÜN</w:t>
            </w:r>
          </w:p>
        </w:tc>
        <w:tc>
          <w:tcPr>
            <w:tcW w:w="1668" w:type="pct"/>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Engin YILDIRIM</w:t>
            </w:r>
          </w:p>
        </w:tc>
      </w:tr>
      <w:tr w:rsidR="002B25FB" w:rsidRPr="002B25FB" w:rsidTr="002B25FB">
        <w:trPr>
          <w:jc w:val="center"/>
        </w:trPr>
        <w:tc>
          <w:tcPr>
            <w:tcW w:w="1666" w:type="pct"/>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proofErr w:type="spellStart"/>
            <w:r w:rsidRPr="002B25FB">
              <w:rPr>
                <w:rFonts w:ascii="Times New Roman" w:eastAsia="Times New Roman" w:hAnsi="Times New Roman" w:cs="Times New Roman"/>
                <w:color w:val="010000"/>
                <w:sz w:val="24"/>
                <w:szCs w:val="24"/>
              </w:rPr>
              <w:t>Hicabi</w:t>
            </w:r>
            <w:proofErr w:type="spellEnd"/>
            <w:r w:rsidRPr="002B25FB">
              <w:rPr>
                <w:rFonts w:ascii="Times New Roman" w:eastAsia="Times New Roman" w:hAnsi="Times New Roman" w:cs="Times New Roman"/>
                <w:color w:val="010000"/>
                <w:sz w:val="24"/>
                <w:szCs w:val="24"/>
              </w:rPr>
              <w:t xml:space="preserve"> DURSUN </w:t>
            </w:r>
          </w:p>
        </w:tc>
        <w:tc>
          <w:tcPr>
            <w:tcW w:w="1666" w:type="pct"/>
            <w:gridSpan w:val="2"/>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 xml:space="preserve">Celal Mümtaz AKINCI </w:t>
            </w:r>
          </w:p>
        </w:tc>
        <w:tc>
          <w:tcPr>
            <w:tcW w:w="1668" w:type="pct"/>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 xml:space="preserve">Muammer TOPAL </w:t>
            </w:r>
          </w:p>
        </w:tc>
      </w:tr>
      <w:tr w:rsidR="002B25FB" w:rsidRPr="002B25FB" w:rsidTr="002B25FB">
        <w:trPr>
          <w:jc w:val="center"/>
        </w:trPr>
        <w:tc>
          <w:tcPr>
            <w:tcW w:w="1666" w:type="pct"/>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 xml:space="preserve">M. Emin KUZ </w:t>
            </w:r>
          </w:p>
        </w:tc>
        <w:tc>
          <w:tcPr>
            <w:tcW w:w="1666" w:type="pct"/>
            <w:gridSpan w:val="2"/>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 xml:space="preserve">Kadir ÖZKAYA </w:t>
            </w:r>
          </w:p>
        </w:tc>
        <w:tc>
          <w:tcPr>
            <w:tcW w:w="1668" w:type="pct"/>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Rıdvan GÜLEÇ</w:t>
            </w:r>
            <w:r w:rsidRPr="002B25FB">
              <w:rPr>
                <w:rFonts w:ascii="Times New Roman" w:eastAsia="Times New Roman" w:hAnsi="Times New Roman" w:cs="Times New Roman"/>
                <w:bCs/>
                <w:color w:val="010000"/>
                <w:sz w:val="24"/>
                <w:szCs w:val="24"/>
              </w:rPr>
              <w:t xml:space="preserve"> </w:t>
            </w:r>
          </w:p>
        </w:tc>
      </w:tr>
      <w:tr w:rsidR="002B25FB" w:rsidRPr="002B25FB" w:rsidTr="002B25FB">
        <w:tblPrEx>
          <w:tblCellMar>
            <w:left w:w="108" w:type="dxa"/>
            <w:right w:w="108" w:type="dxa"/>
          </w:tblCellMar>
          <w:tblLook w:val="04A0" w:firstRow="1" w:lastRow="0" w:firstColumn="1" w:lastColumn="0" w:noHBand="0" w:noVBand="1"/>
        </w:tblPrEx>
        <w:trPr>
          <w:jc w:val="center"/>
        </w:trPr>
        <w:tc>
          <w:tcPr>
            <w:tcW w:w="2500" w:type="pct"/>
            <w:gridSpan w:val="2"/>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bCs/>
                <w:color w:val="010000"/>
                <w:sz w:val="24"/>
                <w:szCs w:val="24"/>
              </w:rPr>
              <w:t>Recai AKYEL</w:t>
            </w:r>
          </w:p>
        </w:tc>
        <w:tc>
          <w:tcPr>
            <w:tcW w:w="2500" w:type="pct"/>
            <w:gridSpan w:val="2"/>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bCs/>
                <w:color w:val="010000"/>
                <w:sz w:val="24"/>
                <w:szCs w:val="24"/>
              </w:rPr>
              <w:t>Yusuf Şevki HAKYEMEZ</w:t>
            </w:r>
          </w:p>
        </w:tc>
      </w:tr>
      <w:tr w:rsidR="002B25FB" w:rsidRPr="002B25FB" w:rsidTr="002B25FB">
        <w:tblPrEx>
          <w:tblCellMar>
            <w:left w:w="108" w:type="dxa"/>
            <w:right w:w="108" w:type="dxa"/>
          </w:tblCellMar>
          <w:tblLook w:val="04A0" w:firstRow="1" w:lastRow="0" w:firstColumn="1" w:lastColumn="0" w:noHBand="0" w:noVBand="1"/>
        </w:tblPrEx>
        <w:trPr>
          <w:jc w:val="center"/>
        </w:trPr>
        <w:tc>
          <w:tcPr>
            <w:tcW w:w="2500" w:type="pct"/>
            <w:gridSpan w:val="2"/>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lastRenderedPageBreak/>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bCs/>
                <w:color w:val="010000"/>
                <w:sz w:val="24"/>
                <w:szCs w:val="24"/>
              </w:rPr>
              <w:t>Yıldız SEFERİNOĞLU</w:t>
            </w:r>
          </w:p>
        </w:tc>
        <w:tc>
          <w:tcPr>
            <w:tcW w:w="2500" w:type="pct"/>
            <w:gridSpan w:val="2"/>
            <w:hideMark/>
          </w:tcPr>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color w:val="010000"/>
                <w:sz w:val="24"/>
                <w:szCs w:val="24"/>
              </w:rPr>
              <w:t>Üye</w:t>
            </w:r>
          </w:p>
          <w:p w:rsidR="002B25FB" w:rsidRPr="002B25FB" w:rsidRDefault="002B25FB" w:rsidP="002B25FB">
            <w:pPr>
              <w:spacing w:before="240" w:after="240" w:line="240" w:lineRule="auto"/>
              <w:jc w:val="center"/>
              <w:rPr>
                <w:rFonts w:ascii="Times New Roman" w:eastAsia="Times New Roman" w:hAnsi="Times New Roman" w:cs="Times New Roman"/>
                <w:color w:val="010000"/>
                <w:sz w:val="24"/>
                <w:szCs w:val="24"/>
              </w:rPr>
            </w:pPr>
            <w:r w:rsidRPr="002B25FB">
              <w:rPr>
                <w:rFonts w:ascii="Times New Roman" w:eastAsia="Times New Roman" w:hAnsi="Times New Roman" w:cs="Times New Roman"/>
                <w:bCs/>
                <w:color w:val="010000"/>
                <w:sz w:val="24"/>
                <w:szCs w:val="24"/>
              </w:rPr>
              <w:t>Selahaddin MENTEŞ</w:t>
            </w:r>
          </w:p>
        </w:tc>
      </w:tr>
    </w:tbl>
    <w:p w:rsidR="002B25FB" w:rsidRPr="002B25FB" w:rsidRDefault="002B25FB" w:rsidP="002B25FB">
      <w:pPr>
        <w:spacing w:after="200" w:line="240" w:lineRule="auto"/>
        <w:ind w:right="283" w:firstLine="709"/>
        <w:jc w:val="both"/>
        <w:rPr>
          <w:rFonts w:ascii="Times New Roman" w:hAnsi="Times New Roman" w:cs="Times New Roman"/>
          <w:color w:val="010000"/>
          <w:sz w:val="24"/>
        </w:rPr>
      </w:pPr>
    </w:p>
    <w:sectPr w:rsidR="002B25FB" w:rsidRPr="002B25FB" w:rsidSect="002B25F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311" w:rsidRDefault="004C7311" w:rsidP="002B25FB">
      <w:pPr>
        <w:spacing w:after="0" w:line="240" w:lineRule="auto"/>
      </w:pPr>
      <w:r>
        <w:separator/>
      </w:r>
    </w:p>
  </w:endnote>
  <w:endnote w:type="continuationSeparator" w:id="0">
    <w:p w:rsidR="004C7311" w:rsidRDefault="004C7311" w:rsidP="002B2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5FB" w:rsidRDefault="002B25FB"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B25FB" w:rsidRDefault="002B25FB" w:rsidP="002B25F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5FB" w:rsidRPr="002B25FB" w:rsidRDefault="002B25FB" w:rsidP="00CA3CD2">
    <w:pPr>
      <w:pStyle w:val="AltBilgi"/>
      <w:framePr w:wrap="around" w:vAnchor="text" w:hAnchor="margin" w:xAlign="right" w:y="1"/>
      <w:rPr>
        <w:rStyle w:val="SayfaNumaras"/>
      </w:rPr>
    </w:pPr>
    <w:r w:rsidRPr="002B25FB">
      <w:rPr>
        <w:rStyle w:val="SayfaNumaras"/>
      </w:rPr>
      <w:fldChar w:fldCharType="begin"/>
    </w:r>
    <w:r w:rsidRPr="002B25FB">
      <w:rPr>
        <w:rStyle w:val="SayfaNumaras"/>
      </w:rPr>
      <w:instrText xml:space="preserve"> PAGE </w:instrText>
    </w:r>
    <w:r w:rsidRPr="002B25FB">
      <w:rPr>
        <w:rStyle w:val="SayfaNumaras"/>
      </w:rPr>
      <w:fldChar w:fldCharType="separate"/>
    </w:r>
    <w:r w:rsidRPr="002B25FB">
      <w:rPr>
        <w:rStyle w:val="SayfaNumaras"/>
        <w:noProof/>
      </w:rPr>
      <w:t>3</w:t>
    </w:r>
    <w:r w:rsidRPr="002B25FB">
      <w:rPr>
        <w:rStyle w:val="SayfaNumaras"/>
      </w:rPr>
      <w:fldChar w:fldCharType="end"/>
    </w:r>
  </w:p>
  <w:p w:rsidR="00364C36" w:rsidRDefault="004C7311" w:rsidP="002B25FB">
    <w:pPr>
      <w:pStyle w:val="AltBilgi"/>
      <w:ind w:right="360"/>
      <w:jc w:val="right"/>
    </w:pPr>
  </w:p>
  <w:p w:rsidR="00364C36" w:rsidRDefault="004C73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311" w:rsidRDefault="004C7311" w:rsidP="002B25FB">
      <w:pPr>
        <w:spacing w:after="0" w:line="240" w:lineRule="auto"/>
      </w:pPr>
      <w:r>
        <w:separator/>
      </w:r>
    </w:p>
  </w:footnote>
  <w:footnote w:type="continuationSeparator" w:id="0">
    <w:p w:rsidR="004C7311" w:rsidRDefault="004C7311" w:rsidP="002B2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5FB" w:rsidRPr="002B25FB" w:rsidRDefault="002B25FB" w:rsidP="002B25FB">
    <w:pPr>
      <w:pStyle w:val="stBilgi"/>
      <w:rPr>
        <w:b/>
      </w:rPr>
    </w:pPr>
    <w:r w:rsidRPr="002B25FB">
      <w:rPr>
        <w:b/>
      </w:rPr>
      <w:t>Esas Sayısı:2019/71 (Siyasi Parti Mali Denetimi)</w:t>
    </w:r>
  </w:p>
  <w:p w:rsidR="002B25FB" w:rsidRDefault="002B25FB" w:rsidP="002B25FB">
    <w:pPr>
      <w:pStyle w:val="stBilgi"/>
      <w:rPr>
        <w:b/>
      </w:rPr>
    </w:pPr>
    <w:r>
      <w:rPr>
        <w:b/>
      </w:rPr>
      <w:t>Karar Sayısı:2019/46</w:t>
    </w:r>
  </w:p>
  <w:p w:rsidR="00364C36" w:rsidRPr="002B25FB" w:rsidRDefault="004C7311" w:rsidP="002B25F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FB"/>
    <w:rsid w:val="002B25FB"/>
    <w:rsid w:val="004C731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5EC1"/>
  <w15:chartTrackingRefBased/>
  <w15:docId w15:val="{5646996A-B9C5-48CF-AE6D-50C0BA1E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5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B25FB"/>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2B25FB"/>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2B25FB"/>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2B25FB"/>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2B2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2020-06-17T14:06:00Z</dcterms:created>
  <dcterms:modified xsi:type="dcterms:W3CDTF">2020-06-17T14:07:00Z</dcterms:modified>
</cp:coreProperties>
</file>