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98A" w:rsidRDefault="00E8498A" w:rsidP="00E8498A">
      <w:pPr>
        <w:spacing w:after="200"/>
        <w:ind w:left="283" w:right="283"/>
        <w:jc w:val="center"/>
        <w:rPr>
          <w:b/>
          <w:bCs/>
          <w:caps/>
          <w:color w:val="010000"/>
        </w:rPr>
      </w:pPr>
      <w:r w:rsidRPr="00E8498A">
        <w:rPr>
          <w:b/>
          <w:bCs/>
          <w:caps/>
          <w:color w:val="010000"/>
        </w:rPr>
        <w:t>ANAYASA MAHKEMESİ KARARI</w:t>
      </w:r>
    </w:p>
    <w:p w:rsidR="00E8498A" w:rsidRPr="00E8498A" w:rsidRDefault="00E8498A" w:rsidP="00E8498A">
      <w:pPr>
        <w:spacing w:after="200"/>
        <w:ind w:left="283" w:right="283" w:firstLine="709"/>
        <w:jc w:val="center"/>
        <w:rPr>
          <w:b/>
          <w:caps/>
          <w:color w:val="010000"/>
        </w:rPr>
      </w:pPr>
    </w:p>
    <w:p w:rsidR="00E8498A" w:rsidRDefault="00E8498A" w:rsidP="00E8498A">
      <w:pPr>
        <w:rPr>
          <w:b/>
          <w:color w:val="010000"/>
        </w:rPr>
      </w:pPr>
      <w:r>
        <w:rPr>
          <w:b/>
          <w:color w:val="010000"/>
        </w:rPr>
        <w:t>Esas Sayısı:2018/6 (Değişik İşler)</w:t>
      </w:r>
    </w:p>
    <w:p w:rsidR="00E8498A" w:rsidRDefault="00E8498A" w:rsidP="00E8498A">
      <w:pPr>
        <w:rPr>
          <w:b/>
          <w:color w:val="010000"/>
        </w:rPr>
      </w:pPr>
      <w:r>
        <w:rPr>
          <w:b/>
          <w:color w:val="010000"/>
        </w:rPr>
        <w:t>Karar Sayısı:2018/5</w:t>
      </w:r>
    </w:p>
    <w:p w:rsidR="00E8498A" w:rsidRDefault="00E8498A" w:rsidP="00E8498A">
      <w:pPr>
        <w:rPr>
          <w:b/>
          <w:color w:val="010000"/>
        </w:rPr>
      </w:pPr>
      <w:r>
        <w:rPr>
          <w:b/>
          <w:color w:val="010000"/>
        </w:rPr>
        <w:t>Karar Tarihi:31/5/2018</w:t>
      </w:r>
    </w:p>
    <w:p w:rsidR="00E8498A" w:rsidRDefault="00E8498A" w:rsidP="00E8498A">
      <w:pPr>
        <w:rPr>
          <w:b/>
          <w:color w:val="010000"/>
        </w:rPr>
      </w:pPr>
      <w:r>
        <w:rPr>
          <w:b/>
          <w:color w:val="010000"/>
        </w:rPr>
        <w:t xml:space="preserve">R.G. Tarih – </w:t>
      </w:r>
      <w:proofErr w:type="spellStart"/>
      <w:proofErr w:type="gramStart"/>
      <w:r>
        <w:rPr>
          <w:b/>
          <w:color w:val="010000"/>
        </w:rPr>
        <w:t>Sayı:Tebliğ</w:t>
      </w:r>
      <w:proofErr w:type="spellEnd"/>
      <w:proofErr w:type="gramEnd"/>
      <w:r>
        <w:rPr>
          <w:b/>
          <w:color w:val="010000"/>
        </w:rPr>
        <w:t xml:space="preserve"> edildi.</w:t>
      </w:r>
    </w:p>
    <w:p w:rsidR="00E8498A" w:rsidRPr="00E8498A" w:rsidRDefault="00E8498A" w:rsidP="00E8498A">
      <w:pPr>
        <w:rPr>
          <w:b/>
          <w:color w:val="010000"/>
        </w:rPr>
      </w:pPr>
    </w:p>
    <w:p w:rsidR="00E8498A" w:rsidRPr="00E8498A" w:rsidRDefault="00E8498A" w:rsidP="00E8498A">
      <w:pPr>
        <w:spacing w:after="200"/>
        <w:ind w:left="283" w:right="283" w:firstLine="709"/>
        <w:jc w:val="both"/>
        <w:rPr>
          <w:color w:val="010000"/>
        </w:rPr>
      </w:pPr>
      <w:r w:rsidRPr="00E8498A">
        <w:rPr>
          <w:b/>
          <w:bCs/>
          <w:color w:val="010000"/>
        </w:rPr>
        <w:t xml:space="preserve">TALEPTE BULUNAN: </w:t>
      </w:r>
      <w:r w:rsidRPr="00E8498A">
        <w:rPr>
          <w:color w:val="010000"/>
        </w:rPr>
        <w:t>Nurdağı Kaymakamlığı</w:t>
      </w:r>
    </w:p>
    <w:p w:rsidR="00E8498A" w:rsidRPr="00E8498A" w:rsidRDefault="00E8498A" w:rsidP="00E8498A">
      <w:pPr>
        <w:autoSpaceDE w:val="0"/>
        <w:autoSpaceDN w:val="0"/>
        <w:spacing w:after="200"/>
        <w:ind w:left="283" w:right="283" w:firstLine="709"/>
        <w:jc w:val="both"/>
        <w:rPr>
          <w:color w:val="010000"/>
        </w:rPr>
      </w:pPr>
      <w:r w:rsidRPr="00E8498A">
        <w:rPr>
          <w:b/>
          <w:bCs/>
          <w:color w:val="010000"/>
        </w:rPr>
        <w:t xml:space="preserve">TALEBİN KONUSU: </w:t>
      </w:r>
      <w:r w:rsidRPr="00E8498A">
        <w:rPr>
          <w:color w:val="010000"/>
        </w:rPr>
        <w:t>2820 sayılı Siyasi Partiler Kanunu’nun 121. maddesine dayanılarak 4721 sayılı Türk Medeni Kanunu’nun 87. maddesi uyarınca genel kurul toplantılarını iki kez üst üste yapmadıkları gerekçesiyle Demokrat Parti Nurdağı İlçe Teşkilatı ile Genç Parti Nurdağı İlçe Teşkilatının kendiliğinden dağılma hâlinin ve buna bağlı olarak hukuki varlığının sona erdiğinin tespitine karar verilmesi talebidir.</w:t>
      </w:r>
    </w:p>
    <w:p w:rsidR="00E8498A" w:rsidRPr="00E8498A" w:rsidRDefault="00E8498A" w:rsidP="00E8498A">
      <w:pPr>
        <w:spacing w:after="200"/>
        <w:ind w:left="283" w:right="283" w:firstLine="709"/>
        <w:jc w:val="both"/>
        <w:rPr>
          <w:color w:val="010000"/>
        </w:rPr>
      </w:pPr>
      <w:r w:rsidRPr="00E8498A">
        <w:rPr>
          <w:b/>
          <w:bCs/>
          <w:color w:val="010000"/>
        </w:rPr>
        <w:t>I.</w:t>
      </w:r>
      <w:r w:rsidRPr="00E8498A">
        <w:rPr>
          <w:b/>
          <w:bCs/>
          <w:color w:val="010000"/>
        </w:rPr>
        <w:t xml:space="preserve"> </w:t>
      </w:r>
      <w:r w:rsidRPr="00E8498A">
        <w:rPr>
          <w:b/>
          <w:bCs/>
          <w:color w:val="010000"/>
        </w:rPr>
        <w:t>TALEPLERİN GEREKÇESİ</w:t>
      </w:r>
    </w:p>
    <w:p w:rsidR="00E8498A" w:rsidRPr="00E8498A" w:rsidRDefault="00E8498A" w:rsidP="00E8498A">
      <w:pPr>
        <w:spacing w:after="200"/>
        <w:ind w:left="283" w:right="283" w:firstLine="709"/>
        <w:jc w:val="both"/>
        <w:rPr>
          <w:color w:val="010000"/>
        </w:rPr>
      </w:pPr>
      <w:r w:rsidRPr="00E8498A">
        <w:rPr>
          <w:color w:val="010000"/>
        </w:rPr>
        <w:t>Nurdağı Kaymakamlığı tarafından Demokrat Parti Nurdağı İlçe Teşkilatı ile Genç Parti İlçe Teşkilatının kendiliğinden dağılma hâlinin tespiti talebiyle</w:t>
      </w:r>
      <w:r w:rsidRPr="00E8498A">
        <w:rPr>
          <w:b/>
          <w:bCs/>
          <w:color w:val="010000"/>
        </w:rPr>
        <w:t xml:space="preserve"> </w:t>
      </w:r>
      <w:r w:rsidRPr="00E8498A">
        <w:rPr>
          <w:color w:val="010000"/>
        </w:rPr>
        <w:t>açılan davada Nurdağı Sulh Hukuk Mahkemesi görevsizlik kararı vermiş ve karar kesinleştiğinde dosyanın görevli ve yetkili Anayasa Mahkemesine gönderilmesine karar vermiştir.</w:t>
      </w:r>
    </w:p>
    <w:p w:rsidR="00E8498A" w:rsidRPr="00E8498A" w:rsidRDefault="00E8498A" w:rsidP="00E8498A">
      <w:pPr>
        <w:spacing w:after="200"/>
        <w:ind w:left="283" w:right="283" w:firstLine="709"/>
        <w:jc w:val="both"/>
        <w:rPr>
          <w:color w:val="010000"/>
        </w:rPr>
      </w:pPr>
      <w:r w:rsidRPr="00E8498A">
        <w:rPr>
          <w:b/>
          <w:bCs/>
          <w:color w:val="010000"/>
        </w:rPr>
        <w:t>II.</w:t>
      </w:r>
      <w:r w:rsidRPr="00E8498A">
        <w:rPr>
          <w:b/>
          <w:bCs/>
          <w:color w:val="010000"/>
        </w:rPr>
        <w:t xml:space="preserve"> </w:t>
      </w:r>
      <w:r w:rsidRPr="00E8498A">
        <w:rPr>
          <w:b/>
          <w:bCs/>
          <w:color w:val="010000"/>
        </w:rPr>
        <w:t>İNCELEME</w:t>
      </w:r>
    </w:p>
    <w:p w:rsidR="00E8498A" w:rsidRPr="00E8498A" w:rsidRDefault="00E8498A" w:rsidP="00E8498A">
      <w:pPr>
        <w:spacing w:after="200"/>
        <w:ind w:left="283" w:right="283" w:firstLine="709"/>
        <w:jc w:val="both"/>
        <w:rPr>
          <w:color w:val="010000"/>
        </w:rPr>
      </w:pPr>
      <w:r w:rsidRPr="00E8498A">
        <w:rPr>
          <w:color w:val="010000"/>
        </w:rPr>
        <w:t>1.</w:t>
      </w:r>
      <w:r w:rsidRPr="00E8498A">
        <w:rPr>
          <w:color w:val="010000"/>
        </w:rPr>
        <w:t xml:space="preserve"> </w:t>
      </w:r>
      <w:r w:rsidRPr="00E8498A">
        <w:rPr>
          <w:color w:val="010000"/>
        </w:rPr>
        <w:t>Başvuruda,</w:t>
      </w:r>
      <w:r w:rsidRPr="00E8498A">
        <w:rPr>
          <w:b/>
          <w:bCs/>
          <w:color w:val="010000"/>
        </w:rPr>
        <w:t xml:space="preserve"> </w:t>
      </w:r>
      <w:r w:rsidRPr="00E8498A">
        <w:rPr>
          <w:color w:val="010000"/>
        </w:rPr>
        <w:t>genel kurul toplantılarını süresinde yapmamaları nedeniyle Demokrat Parti Nurdağı İlçe Teşkilatı ile Genç Parti Nurdağı İlçe Teşkilatının kendiliğinden dağılma hâlinin ve buna bağlı olarak hukuki varlığının sona erdiğinin tespitine karar verilmesi talep edilmiştir.</w:t>
      </w:r>
    </w:p>
    <w:p w:rsidR="00E8498A" w:rsidRPr="00E8498A" w:rsidRDefault="00E8498A" w:rsidP="00E8498A">
      <w:pPr>
        <w:spacing w:after="200"/>
        <w:ind w:left="283" w:right="283" w:firstLine="709"/>
        <w:jc w:val="both"/>
        <w:rPr>
          <w:color w:val="010000"/>
        </w:rPr>
      </w:pPr>
      <w:r w:rsidRPr="00E8498A">
        <w:rPr>
          <w:color w:val="010000"/>
        </w:rPr>
        <w:t>2.</w:t>
      </w:r>
      <w:r w:rsidRPr="00E8498A">
        <w:rPr>
          <w:color w:val="010000"/>
        </w:rPr>
        <w:t xml:space="preserve"> </w:t>
      </w:r>
      <w:r w:rsidRPr="00E8498A">
        <w:rPr>
          <w:color w:val="010000"/>
        </w:rPr>
        <w:t>2820 sayılı Kanun’un 121. maddesinin birinci fıkrasında “</w:t>
      </w:r>
      <w:r w:rsidRPr="00E8498A">
        <w:rPr>
          <w:i/>
          <w:iCs/>
          <w:color w:val="010000"/>
        </w:rPr>
        <w:t xml:space="preserve">Türk Kanunu Medenisi ile </w:t>
      </w:r>
      <w:proofErr w:type="gramStart"/>
      <w:r w:rsidRPr="00E8498A">
        <w:rPr>
          <w:i/>
          <w:iCs/>
          <w:color w:val="010000"/>
        </w:rPr>
        <w:t>Dernekler Kanununun</w:t>
      </w:r>
      <w:proofErr w:type="gramEnd"/>
      <w:r w:rsidRPr="00E8498A">
        <w:rPr>
          <w:i/>
          <w:iCs/>
          <w:color w:val="010000"/>
        </w:rPr>
        <w:t xml:space="preserve"> ve dernekler hakkında uygulanan diğer kanunların bu Kanuna aykırı olmayan hükümleri, siyasi partiler hakkında da uygulanır</w:t>
      </w:r>
      <w:r w:rsidRPr="00E8498A">
        <w:rPr>
          <w:color w:val="010000"/>
        </w:rPr>
        <w:t>.” denilmektedir.</w:t>
      </w:r>
    </w:p>
    <w:p w:rsidR="00E8498A" w:rsidRPr="00E8498A" w:rsidRDefault="00E8498A" w:rsidP="00E8498A">
      <w:pPr>
        <w:spacing w:after="200"/>
        <w:ind w:left="283" w:right="283" w:firstLine="709"/>
        <w:jc w:val="both"/>
        <w:rPr>
          <w:color w:val="010000"/>
        </w:rPr>
      </w:pPr>
      <w:r w:rsidRPr="00E8498A">
        <w:rPr>
          <w:color w:val="010000"/>
        </w:rPr>
        <w:t>3.</w:t>
      </w:r>
      <w:r w:rsidRPr="00E8498A">
        <w:rPr>
          <w:color w:val="010000"/>
        </w:rPr>
        <w:t xml:space="preserve"> </w:t>
      </w:r>
      <w:r w:rsidRPr="00E8498A">
        <w:rPr>
          <w:color w:val="010000"/>
        </w:rPr>
        <w:t xml:space="preserve">4721 sayılı Kanun’un 87. maddesinde; kuruluş amacının gerçekleşmesinin olanaksız hâle gelmesi, ilk genel kurul toplantısının kanunda öngörülen sürede yapılmamış ve zorunlu organlarının oluşturulmamış olması, tüzük gereğince yönetim kurulunun oluşturulmasının olanaksız hâle gelmesi, olağan genel kurul toplantısının iki defa üst üste yapılmaması gibi durumlar derneğin kendiliğinden sona ermesi nedenleri olarak sayılmakta ve her ilgilinin derneğin kendiliğinden sonra erdiğinin tespitini isteyebileceği kayıt altına alınmaktadır. </w:t>
      </w:r>
    </w:p>
    <w:p w:rsidR="00E8498A" w:rsidRPr="00E8498A" w:rsidRDefault="00E8498A" w:rsidP="00E8498A">
      <w:pPr>
        <w:spacing w:after="200"/>
        <w:ind w:left="283" w:right="283" w:firstLine="709"/>
        <w:jc w:val="both"/>
        <w:rPr>
          <w:color w:val="010000"/>
        </w:rPr>
      </w:pPr>
      <w:r w:rsidRPr="00E8498A">
        <w:rPr>
          <w:color w:val="010000"/>
        </w:rPr>
        <w:t>4.</w:t>
      </w:r>
      <w:r w:rsidRPr="00E8498A">
        <w:rPr>
          <w:color w:val="010000"/>
        </w:rPr>
        <w:t xml:space="preserve"> </w:t>
      </w:r>
      <w:r w:rsidRPr="00E8498A">
        <w:rPr>
          <w:color w:val="010000"/>
        </w:rPr>
        <w:t>Anayasa Mahkemesinin 15/11/2017 tarihli ve E.2017/7, K.2017/6 (Değişik İşler), 15/11/2017 tarihli ve E.2017/8, K.2017/7 (Değişik İşler) ve 15/11/2017 tarihli ve E.2017/9, K.2017/8 (Değişik İşler) sayılı kararlarında siyasi partilerin dağılma durumunun tespiti talebiyle Anayasa Mahkemesine başvuruda bulunabilecek olanlara ilişkin değerlendirme yapılmıştır. Anayasa Mahkemesi söz konusu kararlarında 4721 sayılı Kanun’un 87. maddesinde bahsedilen ilgililerden, siyasi partilerin hukuki ve mali sorumluluk sahibi yasal temsilcileri ile siyasi partilerin kapatılması davasını açmak ve sicil dosyalarını tutmakla görevli olan Yargıtay Cumhuriyet Başsavcılığının anlaşılması gerektiğini belirtmiş olup kaymakamlıklar bu sayılanlar arasında değildir.</w:t>
      </w:r>
    </w:p>
    <w:p w:rsidR="00E8498A" w:rsidRPr="00E8498A" w:rsidRDefault="00E8498A" w:rsidP="00E8498A">
      <w:pPr>
        <w:spacing w:after="200"/>
        <w:ind w:left="283" w:right="283" w:firstLine="709"/>
        <w:jc w:val="both"/>
        <w:rPr>
          <w:color w:val="010000"/>
        </w:rPr>
      </w:pPr>
      <w:r w:rsidRPr="00E8498A">
        <w:rPr>
          <w:color w:val="010000"/>
        </w:rPr>
        <w:lastRenderedPageBreak/>
        <w:t>5.</w:t>
      </w:r>
      <w:r w:rsidRPr="00E8498A">
        <w:rPr>
          <w:color w:val="010000"/>
        </w:rPr>
        <w:t xml:space="preserve"> </w:t>
      </w:r>
      <w:r w:rsidRPr="00E8498A">
        <w:rPr>
          <w:color w:val="010000"/>
        </w:rPr>
        <w:t xml:space="preserve">Buna göre Nurdağı Kaymakamlığının bir siyasi partinin ilçe teşkilatının dağılma hâlinin ve buna bağlı olarak hukuki varlığının sona erdiğinin tespitini talep etme yetkisi bulunmamaktadır. </w:t>
      </w:r>
    </w:p>
    <w:p w:rsidR="00E8498A" w:rsidRPr="00E8498A" w:rsidRDefault="00E8498A" w:rsidP="00E8498A">
      <w:pPr>
        <w:spacing w:after="200"/>
        <w:ind w:left="283" w:right="283" w:firstLine="709"/>
        <w:jc w:val="both"/>
        <w:rPr>
          <w:color w:val="010000"/>
        </w:rPr>
      </w:pPr>
      <w:r w:rsidRPr="00E8498A">
        <w:rPr>
          <w:color w:val="010000"/>
        </w:rPr>
        <w:t>6.</w:t>
      </w:r>
      <w:r w:rsidRPr="00E8498A">
        <w:rPr>
          <w:color w:val="010000"/>
        </w:rPr>
        <w:t xml:space="preserve"> </w:t>
      </w:r>
      <w:r w:rsidRPr="00E8498A">
        <w:rPr>
          <w:color w:val="010000"/>
        </w:rPr>
        <w:t>Açıklanan nedenlerle Demokrat Parti Nurdağı İlçe Teşkilatı ile Genç Parti Nurdağı İlçe Teşkilatının dağılma hâlinin ve buna bağlı olarak hukuki varlığının sona erdiğinin tespiti talebinin başvuranın yetkisizliği nedeniyle reddine karar verilmesi gerekir.</w:t>
      </w:r>
    </w:p>
    <w:p w:rsidR="00E8498A" w:rsidRPr="00E8498A" w:rsidRDefault="00E8498A" w:rsidP="00E8498A">
      <w:pPr>
        <w:spacing w:after="200"/>
        <w:ind w:left="283" w:right="283" w:firstLine="709"/>
        <w:jc w:val="both"/>
        <w:rPr>
          <w:color w:val="010000"/>
        </w:rPr>
      </w:pPr>
      <w:r w:rsidRPr="00E8498A">
        <w:rPr>
          <w:b/>
          <w:bCs/>
          <w:color w:val="010000"/>
        </w:rPr>
        <w:t>III. HÜKÜM</w:t>
      </w:r>
    </w:p>
    <w:p w:rsidR="00E8498A" w:rsidRPr="00E8498A" w:rsidRDefault="00E8498A" w:rsidP="00E8498A">
      <w:pPr>
        <w:overflowPunct w:val="0"/>
        <w:autoSpaceDE w:val="0"/>
        <w:autoSpaceDN w:val="0"/>
        <w:spacing w:after="200"/>
        <w:ind w:left="283" w:right="283" w:firstLine="709"/>
        <w:jc w:val="both"/>
        <w:textAlignment w:val="baseline"/>
        <w:rPr>
          <w:color w:val="010000"/>
        </w:rPr>
      </w:pPr>
      <w:r w:rsidRPr="00E8498A">
        <w:rPr>
          <w:color w:val="010000"/>
        </w:rPr>
        <w:t>Demokrat Parti Nurdağı İlçe Teşkilatı ile Genç Parti Nurdağı İlçe Teşkilatının kendiliğinden dağılma halinin ve buna bağlı olarak hukuki varlığının sona erdiğinin tespiti talebinin başvuranın yetkisizliği nedeniyle REDDİNE, 31/5/2018 tarihinde OYBİRLİĞİYLE karar verildi.</w:t>
      </w:r>
    </w:p>
    <w:p w:rsidR="00E8498A" w:rsidRPr="00E8498A" w:rsidRDefault="00E8498A" w:rsidP="00E8498A">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8498A" w:rsidRPr="00E8498A" w:rsidTr="00E8498A">
        <w:trPr>
          <w:jc w:val="center"/>
        </w:trPr>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 xml:space="preserve"> </w:t>
            </w:r>
            <w:r w:rsidRPr="00E8498A">
              <w:rPr>
                <w:color w:val="010000"/>
              </w:rPr>
              <w:t>Başkan</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Zühtü ARSLAN</w:t>
            </w:r>
          </w:p>
        </w:tc>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Başkanvekili</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Burhan ÜSTÜN</w:t>
            </w:r>
          </w:p>
        </w:tc>
        <w:tc>
          <w:tcPr>
            <w:tcW w:w="1666"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Başkanvekili</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Engin YILDIRIM</w:t>
            </w:r>
          </w:p>
        </w:tc>
      </w:tr>
    </w:tbl>
    <w:p w:rsidR="00E8498A" w:rsidRPr="00E8498A" w:rsidRDefault="00E8498A" w:rsidP="00E8498A">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8498A" w:rsidRPr="00E8498A" w:rsidTr="00E8498A">
        <w:trPr>
          <w:jc w:val="center"/>
        </w:trPr>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 xml:space="preserve">Serdar ÖZGÜLDÜR </w:t>
            </w:r>
          </w:p>
        </w:tc>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proofErr w:type="spellStart"/>
            <w:r w:rsidRPr="00E8498A">
              <w:rPr>
                <w:color w:val="010000"/>
              </w:rPr>
              <w:t>Serruh</w:t>
            </w:r>
            <w:proofErr w:type="spellEnd"/>
            <w:r w:rsidRPr="00E8498A">
              <w:rPr>
                <w:color w:val="010000"/>
              </w:rPr>
              <w:t xml:space="preserve"> KALELİ </w:t>
            </w:r>
          </w:p>
        </w:tc>
        <w:tc>
          <w:tcPr>
            <w:tcW w:w="1666"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 xml:space="preserve"> </w:t>
            </w:r>
            <w:r w:rsidRPr="00E8498A">
              <w:rPr>
                <w:color w:val="010000"/>
              </w:rPr>
              <w:t xml:space="preserve">Osman </w:t>
            </w:r>
            <w:proofErr w:type="spellStart"/>
            <w:r w:rsidRPr="00E8498A">
              <w:rPr>
                <w:color w:val="010000"/>
              </w:rPr>
              <w:t>Alifeyyaz</w:t>
            </w:r>
            <w:proofErr w:type="spellEnd"/>
            <w:r w:rsidRPr="00E8498A">
              <w:rPr>
                <w:color w:val="010000"/>
              </w:rPr>
              <w:t xml:space="preserve"> PAKSÜT</w:t>
            </w:r>
          </w:p>
        </w:tc>
      </w:tr>
    </w:tbl>
    <w:p w:rsidR="00E8498A" w:rsidRPr="00E8498A" w:rsidRDefault="00E8498A" w:rsidP="00E8498A">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8498A" w:rsidRPr="00E8498A" w:rsidTr="00E8498A">
        <w:trPr>
          <w:jc w:val="center"/>
        </w:trPr>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 xml:space="preserve"> </w:t>
            </w:r>
            <w:r w:rsidRPr="00E8498A">
              <w:rPr>
                <w:color w:val="010000"/>
              </w:rPr>
              <w:t>Recep KÖMÜRCÜ</w:t>
            </w:r>
          </w:p>
        </w:tc>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Nuri NECİPOĞLU</w:t>
            </w:r>
          </w:p>
        </w:tc>
        <w:tc>
          <w:tcPr>
            <w:tcW w:w="1666"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proofErr w:type="spellStart"/>
            <w:r w:rsidRPr="00E8498A">
              <w:rPr>
                <w:color w:val="010000"/>
              </w:rPr>
              <w:t>Hicabi</w:t>
            </w:r>
            <w:proofErr w:type="spellEnd"/>
            <w:r w:rsidRPr="00E8498A">
              <w:rPr>
                <w:color w:val="010000"/>
              </w:rPr>
              <w:t xml:space="preserve"> DURSUN </w:t>
            </w:r>
          </w:p>
        </w:tc>
      </w:tr>
    </w:tbl>
    <w:p w:rsidR="00E8498A" w:rsidRPr="00E8498A" w:rsidRDefault="00E8498A" w:rsidP="00E8498A">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8498A" w:rsidRPr="00E8498A" w:rsidTr="00E8498A">
        <w:trPr>
          <w:jc w:val="center"/>
        </w:trPr>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Celal Mümtaz AKINCI</w:t>
            </w:r>
          </w:p>
        </w:tc>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Muammer TOPAL</w:t>
            </w:r>
          </w:p>
        </w:tc>
        <w:tc>
          <w:tcPr>
            <w:tcW w:w="1666"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M. Emin KUZ</w:t>
            </w:r>
          </w:p>
        </w:tc>
      </w:tr>
    </w:tbl>
    <w:p w:rsidR="00E8498A" w:rsidRPr="00E8498A" w:rsidRDefault="00E8498A" w:rsidP="00E8498A">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E8498A" w:rsidRPr="00E8498A" w:rsidTr="00E8498A">
        <w:trPr>
          <w:jc w:val="center"/>
        </w:trPr>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 xml:space="preserve"> </w:t>
            </w: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Hasan Tahsin GÖKCAN</w:t>
            </w:r>
          </w:p>
        </w:tc>
        <w:tc>
          <w:tcPr>
            <w:tcW w:w="1667"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Kadir ÖZKAYA</w:t>
            </w:r>
          </w:p>
        </w:tc>
        <w:tc>
          <w:tcPr>
            <w:tcW w:w="1666"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Rıdvan GÜLEÇ</w:t>
            </w:r>
          </w:p>
        </w:tc>
      </w:tr>
    </w:tbl>
    <w:p w:rsidR="00E8498A" w:rsidRPr="00E8498A" w:rsidRDefault="00E8498A" w:rsidP="00E8498A">
      <w:pPr>
        <w:overflowPunct w:val="0"/>
        <w:autoSpaceDE w:val="0"/>
        <w:autoSpaceDN w:val="0"/>
        <w:spacing w:after="200"/>
        <w:ind w:left="283" w:right="283" w:firstLine="709"/>
        <w:jc w:val="both"/>
        <w:textAlignment w:val="baseline"/>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E8498A" w:rsidRPr="00E8498A" w:rsidTr="00E8498A">
        <w:trPr>
          <w:jc w:val="center"/>
        </w:trPr>
        <w:tc>
          <w:tcPr>
            <w:tcW w:w="2500"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Recai AKYEL</w:t>
            </w:r>
          </w:p>
        </w:tc>
        <w:tc>
          <w:tcPr>
            <w:tcW w:w="2500" w:type="pct"/>
            <w:tcMar>
              <w:top w:w="0" w:type="dxa"/>
              <w:left w:w="70" w:type="dxa"/>
              <w:bottom w:w="0" w:type="dxa"/>
              <w:right w:w="70" w:type="dxa"/>
            </w:tcMar>
            <w:hideMark/>
          </w:tcPr>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Üye</w:t>
            </w:r>
          </w:p>
          <w:p w:rsidR="00E8498A" w:rsidRPr="00E8498A" w:rsidRDefault="00E8498A" w:rsidP="00E8498A">
            <w:pPr>
              <w:overflowPunct w:val="0"/>
              <w:autoSpaceDE w:val="0"/>
              <w:autoSpaceDN w:val="0"/>
              <w:spacing w:after="120"/>
              <w:jc w:val="center"/>
              <w:textAlignment w:val="baseline"/>
              <w:rPr>
                <w:color w:val="010000"/>
              </w:rPr>
            </w:pPr>
            <w:r w:rsidRPr="00E8498A">
              <w:rPr>
                <w:color w:val="010000"/>
              </w:rPr>
              <w:t>Yusuf Şevki HAKYEMEZ</w:t>
            </w:r>
          </w:p>
        </w:tc>
      </w:tr>
    </w:tbl>
    <w:p w:rsidR="00E8498A" w:rsidRPr="00E8498A" w:rsidRDefault="00E8498A" w:rsidP="00E8498A">
      <w:pPr>
        <w:overflowPunct w:val="0"/>
        <w:autoSpaceDE w:val="0"/>
        <w:autoSpaceDN w:val="0"/>
        <w:spacing w:after="200"/>
        <w:ind w:left="283" w:right="283" w:firstLine="709"/>
        <w:jc w:val="both"/>
        <w:textAlignment w:val="baseline"/>
        <w:rPr>
          <w:color w:val="010000"/>
        </w:rPr>
      </w:pPr>
      <w:bookmarkStart w:id="0" w:name="_GoBack"/>
      <w:bookmarkEnd w:id="0"/>
    </w:p>
    <w:sectPr w:rsidR="00E8498A" w:rsidRPr="00E8498A" w:rsidSect="00E8498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821" w:rsidRDefault="00642821" w:rsidP="00E8498A">
      <w:r>
        <w:separator/>
      </w:r>
    </w:p>
  </w:endnote>
  <w:endnote w:type="continuationSeparator" w:id="0">
    <w:p w:rsidR="00642821" w:rsidRDefault="00642821" w:rsidP="00E8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98A" w:rsidRDefault="00E8498A"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8498A" w:rsidRDefault="00E8498A" w:rsidP="00E849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98A" w:rsidRPr="00E8498A" w:rsidRDefault="00E8498A" w:rsidP="00C27D2A">
    <w:pPr>
      <w:pStyle w:val="AltBilgi"/>
      <w:framePr w:wrap="around" w:vAnchor="text" w:hAnchor="margin" w:xAlign="right" w:y="1"/>
      <w:rPr>
        <w:rStyle w:val="SayfaNumaras"/>
      </w:rPr>
    </w:pPr>
    <w:r w:rsidRPr="00E8498A">
      <w:rPr>
        <w:rStyle w:val="SayfaNumaras"/>
      </w:rPr>
      <w:fldChar w:fldCharType="begin"/>
    </w:r>
    <w:r w:rsidRPr="00E8498A">
      <w:rPr>
        <w:rStyle w:val="SayfaNumaras"/>
      </w:rPr>
      <w:instrText xml:space="preserve"> PAGE </w:instrText>
    </w:r>
    <w:r w:rsidRPr="00E8498A">
      <w:rPr>
        <w:rStyle w:val="SayfaNumaras"/>
      </w:rPr>
      <w:fldChar w:fldCharType="separate"/>
    </w:r>
    <w:r w:rsidRPr="00E8498A">
      <w:rPr>
        <w:rStyle w:val="SayfaNumaras"/>
        <w:noProof/>
      </w:rPr>
      <w:t>1</w:t>
    </w:r>
    <w:r w:rsidRPr="00E8498A">
      <w:rPr>
        <w:rStyle w:val="SayfaNumaras"/>
      </w:rPr>
      <w:fldChar w:fldCharType="end"/>
    </w:r>
  </w:p>
  <w:p w:rsidR="00E8498A" w:rsidRDefault="00E8498A" w:rsidP="00E8498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821" w:rsidRDefault="00642821" w:rsidP="00E8498A">
      <w:r>
        <w:separator/>
      </w:r>
    </w:p>
  </w:footnote>
  <w:footnote w:type="continuationSeparator" w:id="0">
    <w:p w:rsidR="00642821" w:rsidRDefault="00642821" w:rsidP="00E8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98A" w:rsidRPr="00E8498A" w:rsidRDefault="00E8498A" w:rsidP="00E8498A">
    <w:pPr>
      <w:pStyle w:val="stBilgi"/>
      <w:rPr>
        <w:b/>
      </w:rPr>
    </w:pPr>
    <w:r w:rsidRPr="00E8498A">
      <w:rPr>
        <w:b/>
      </w:rPr>
      <w:t>Esas Sayısı:2018/6 (Değişik İşler)</w:t>
    </w:r>
  </w:p>
  <w:p w:rsidR="00E8498A" w:rsidRDefault="00E8498A" w:rsidP="00E8498A">
    <w:pPr>
      <w:pStyle w:val="stBilgi"/>
      <w:rPr>
        <w:b/>
      </w:rPr>
    </w:pPr>
    <w:r>
      <w:rPr>
        <w:b/>
      </w:rPr>
      <w:t>Karar Sayısı:2018/5</w:t>
    </w:r>
  </w:p>
  <w:p w:rsidR="00E8498A" w:rsidRPr="00E8498A" w:rsidRDefault="00E8498A" w:rsidP="00E8498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8A"/>
    <w:rsid w:val="00642821"/>
    <w:rsid w:val="00D12EB3"/>
    <w:rsid w:val="00E8498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A4C9C-95D6-44E1-A6CC-87B071F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98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498A"/>
    <w:pPr>
      <w:tabs>
        <w:tab w:val="center" w:pos="4536"/>
        <w:tab w:val="right" w:pos="9072"/>
      </w:tabs>
    </w:pPr>
  </w:style>
  <w:style w:type="character" w:customStyle="1" w:styleId="stBilgiChar">
    <w:name w:val="Üst Bilgi Char"/>
    <w:basedOn w:val="VarsaylanParagrafYazTipi"/>
    <w:link w:val="stBilgi"/>
    <w:uiPriority w:val="99"/>
    <w:rsid w:val="00E8498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E8498A"/>
    <w:pPr>
      <w:tabs>
        <w:tab w:val="center" w:pos="4536"/>
        <w:tab w:val="right" w:pos="9072"/>
      </w:tabs>
    </w:pPr>
  </w:style>
  <w:style w:type="character" w:customStyle="1" w:styleId="AltBilgiChar">
    <w:name w:val="Alt Bilgi Char"/>
    <w:basedOn w:val="VarsaylanParagrafYazTipi"/>
    <w:link w:val="AltBilgi"/>
    <w:uiPriority w:val="99"/>
    <w:rsid w:val="00E8498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E8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2020-06-13T09:38:00Z</dcterms:created>
  <dcterms:modified xsi:type="dcterms:W3CDTF">2020-06-13T09:39:00Z</dcterms:modified>
</cp:coreProperties>
</file>