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C63B5" w:rsidRDefault="00AC63B5" w:rsidP="00AC63B5">
      <w:pPr>
        <w:spacing w:after="200"/>
        <w:ind w:right="283"/>
        <w:jc w:val="center"/>
        <w:rPr>
          <w:b/>
          <w:bCs/>
          <w:caps/>
          <w:color w:val="010000"/>
          <w:szCs w:val="26"/>
        </w:rPr>
      </w:pPr>
      <w:r w:rsidRPr="00AC63B5">
        <w:rPr>
          <w:b/>
          <w:bCs/>
          <w:caps/>
          <w:color w:val="010000"/>
          <w:szCs w:val="26"/>
        </w:rPr>
        <w:t xml:space="preserve"> </w:t>
      </w:r>
      <w:r w:rsidRPr="00AC63B5">
        <w:rPr>
          <w:b/>
          <w:bCs/>
          <w:caps/>
          <w:color w:val="010000"/>
          <w:szCs w:val="26"/>
        </w:rPr>
        <w:t>ANAYASA MAHKEMESİ KARARI</w:t>
      </w:r>
    </w:p>
    <w:p w:rsidR="00AC63B5" w:rsidRPr="00AC63B5" w:rsidRDefault="00AC63B5" w:rsidP="00AC63B5">
      <w:pPr>
        <w:spacing w:after="200"/>
        <w:ind w:right="283" w:firstLine="709"/>
        <w:jc w:val="center"/>
        <w:rPr>
          <w:b/>
          <w:bCs/>
          <w:caps/>
          <w:color w:val="010000"/>
          <w:szCs w:val="26"/>
        </w:rPr>
      </w:pPr>
    </w:p>
    <w:p w:rsidR="00AC63B5" w:rsidRDefault="00AC63B5" w:rsidP="00AC63B5">
      <w:pPr>
        <w:rPr>
          <w:b/>
          <w:bCs/>
          <w:color w:val="010000"/>
          <w:szCs w:val="26"/>
        </w:rPr>
      </w:pPr>
      <w:r>
        <w:rPr>
          <w:b/>
          <w:bCs/>
          <w:color w:val="010000"/>
          <w:szCs w:val="26"/>
        </w:rPr>
        <w:t>Esas Sayısı:2015/21 (Siyasi Parti Mali Denetimi)</w:t>
      </w:r>
    </w:p>
    <w:p w:rsidR="00AC63B5" w:rsidRDefault="00AC63B5" w:rsidP="00AC63B5">
      <w:pPr>
        <w:rPr>
          <w:b/>
          <w:bCs/>
          <w:color w:val="010000"/>
          <w:szCs w:val="26"/>
        </w:rPr>
      </w:pPr>
      <w:r>
        <w:rPr>
          <w:b/>
          <w:bCs/>
          <w:color w:val="010000"/>
          <w:szCs w:val="26"/>
        </w:rPr>
        <w:t>Karar Sayısı:2018/11</w:t>
      </w:r>
    </w:p>
    <w:p w:rsidR="00AC63B5" w:rsidRDefault="00AC63B5" w:rsidP="00AC63B5">
      <w:pPr>
        <w:rPr>
          <w:b/>
          <w:bCs/>
          <w:color w:val="010000"/>
          <w:szCs w:val="26"/>
        </w:rPr>
      </w:pPr>
      <w:r>
        <w:rPr>
          <w:b/>
          <w:bCs/>
          <w:color w:val="010000"/>
          <w:szCs w:val="26"/>
        </w:rPr>
        <w:t>Karar Tarihi:4.1.2018</w:t>
      </w:r>
    </w:p>
    <w:p w:rsidR="00AC63B5" w:rsidRDefault="00AC63B5" w:rsidP="00AC63B5">
      <w:pPr>
        <w:rPr>
          <w:b/>
          <w:bCs/>
          <w:color w:val="010000"/>
          <w:szCs w:val="26"/>
        </w:rPr>
      </w:pPr>
      <w:r>
        <w:rPr>
          <w:b/>
          <w:bCs/>
          <w:color w:val="010000"/>
          <w:szCs w:val="26"/>
        </w:rPr>
        <w:t>R.G. Tarih – Sayı:15.3.2018 – 30361</w:t>
      </w:r>
    </w:p>
    <w:p w:rsidR="00AC63B5" w:rsidRPr="00AC63B5" w:rsidRDefault="00AC63B5" w:rsidP="00AC63B5">
      <w:pPr>
        <w:rPr>
          <w:b/>
          <w:bCs/>
          <w:color w:val="010000"/>
          <w:szCs w:val="26"/>
        </w:rPr>
      </w:pPr>
    </w:p>
    <w:p w:rsidR="00AC63B5" w:rsidRPr="00AC63B5" w:rsidRDefault="00AC63B5" w:rsidP="00AC63B5">
      <w:pPr>
        <w:spacing w:after="200"/>
        <w:ind w:right="283" w:firstLine="709"/>
        <w:jc w:val="both"/>
        <w:rPr>
          <w:color w:val="010000"/>
          <w:szCs w:val="26"/>
        </w:rPr>
      </w:pPr>
      <w:r w:rsidRPr="00AC63B5">
        <w:rPr>
          <w:b/>
          <w:bCs/>
          <w:color w:val="010000"/>
          <w:szCs w:val="26"/>
        </w:rPr>
        <w:t>I. MALİ DENETİMİN KONUSU</w:t>
      </w:r>
    </w:p>
    <w:p w:rsidR="00AC63B5" w:rsidRPr="00AC63B5" w:rsidRDefault="00AC63B5" w:rsidP="00AC63B5">
      <w:pPr>
        <w:spacing w:after="200"/>
        <w:ind w:right="283" w:firstLine="709"/>
        <w:jc w:val="both"/>
        <w:rPr>
          <w:color w:val="010000"/>
          <w:szCs w:val="26"/>
        </w:rPr>
      </w:pPr>
      <w:r w:rsidRPr="00AC63B5">
        <w:rPr>
          <w:color w:val="010000"/>
          <w:szCs w:val="26"/>
        </w:rPr>
        <w:t>Hak ve Adalet Partisi 2014 yılı kesin hesabının incelenmesidir.</w:t>
      </w:r>
    </w:p>
    <w:p w:rsidR="00AC63B5" w:rsidRPr="00AC63B5" w:rsidRDefault="00AC63B5" w:rsidP="00AC63B5">
      <w:pPr>
        <w:spacing w:after="200"/>
        <w:ind w:right="283" w:firstLine="709"/>
        <w:jc w:val="both"/>
        <w:rPr>
          <w:color w:val="010000"/>
          <w:szCs w:val="26"/>
        </w:rPr>
      </w:pPr>
      <w:r w:rsidRPr="00AC63B5">
        <w:rPr>
          <w:b/>
          <w:bCs/>
          <w:color w:val="010000"/>
          <w:szCs w:val="26"/>
        </w:rPr>
        <w:t>II. İLK İNCELEME</w:t>
      </w:r>
    </w:p>
    <w:p w:rsidR="00AC63B5" w:rsidRPr="00AC63B5" w:rsidRDefault="00AC63B5" w:rsidP="00AC63B5">
      <w:pPr>
        <w:spacing w:after="200"/>
        <w:ind w:right="283" w:firstLine="709"/>
        <w:jc w:val="both"/>
        <w:rPr>
          <w:color w:val="010000"/>
          <w:szCs w:val="26"/>
        </w:rPr>
      </w:pPr>
      <w:r w:rsidRPr="00AC63B5">
        <w:rPr>
          <w:color w:val="010000"/>
          <w:szCs w:val="26"/>
        </w:rPr>
        <w:t xml:space="preserve">1. Anayasa Mahkemesi İçtüzüğü hükümleri uyarınca Burhan ÜSTÜN, Engin YILDIRIM, Serdar ÖZGÜLDÜR, </w:t>
      </w:r>
      <w:proofErr w:type="spellStart"/>
      <w:r w:rsidRPr="00AC63B5">
        <w:rPr>
          <w:color w:val="010000"/>
          <w:szCs w:val="26"/>
        </w:rPr>
        <w:t>Serruh</w:t>
      </w:r>
      <w:proofErr w:type="spellEnd"/>
      <w:r w:rsidRPr="00AC63B5">
        <w:rPr>
          <w:color w:val="010000"/>
          <w:szCs w:val="26"/>
        </w:rPr>
        <w:t xml:space="preserve"> KALELİ, Osman </w:t>
      </w:r>
      <w:proofErr w:type="spellStart"/>
      <w:r w:rsidRPr="00AC63B5">
        <w:rPr>
          <w:color w:val="010000"/>
          <w:szCs w:val="26"/>
        </w:rPr>
        <w:t>Alifeyyaz</w:t>
      </w:r>
      <w:proofErr w:type="spellEnd"/>
      <w:r w:rsidRPr="00AC63B5">
        <w:rPr>
          <w:color w:val="010000"/>
          <w:szCs w:val="26"/>
        </w:rPr>
        <w:t xml:space="preserve"> PAKSÜT, Alparslan ALTAN, Celal Mümtaz AKINCI, Erdal TERCAN, Muammer TOPAL, M. Emin KUZ, Hasan Tahsin GÖKCAN, Kadir ÖZKAYA ve Rıdvan </w:t>
      </w:r>
      <w:proofErr w:type="spellStart"/>
      <w:r w:rsidRPr="00AC63B5">
        <w:rPr>
          <w:color w:val="010000"/>
          <w:szCs w:val="26"/>
        </w:rPr>
        <w:t>GÜLEÇ’in</w:t>
      </w:r>
      <w:proofErr w:type="spellEnd"/>
      <w:r w:rsidRPr="00AC63B5">
        <w:rPr>
          <w:color w:val="010000"/>
          <w:szCs w:val="26"/>
        </w:rPr>
        <w:t xml:space="preserve"> katılımlarıyla 26.5.2016 tarihinde yapılan ilk inceleme toplantısında öncelikle suç duyurusunda bulunulup bulunulmayacağı sorunu görüşülmüştür.</w:t>
      </w:r>
    </w:p>
    <w:p w:rsidR="00AC63B5" w:rsidRPr="00AC63B5" w:rsidRDefault="00AC63B5" w:rsidP="00AC63B5">
      <w:pPr>
        <w:spacing w:after="200"/>
        <w:ind w:right="283" w:firstLine="709"/>
        <w:jc w:val="both"/>
        <w:rPr>
          <w:color w:val="010000"/>
          <w:szCs w:val="26"/>
        </w:rPr>
      </w:pPr>
      <w:r w:rsidRPr="00AC63B5">
        <w:rPr>
          <w:color w:val="010000"/>
          <w:szCs w:val="26"/>
        </w:rPr>
        <w:t xml:space="preserve">2. 2820 sayılı Siyasi Partiler Kanunu’nun 73. maddesinin üçüncü fıkrasında </w:t>
      </w:r>
      <w:r w:rsidRPr="00AC63B5">
        <w:rPr>
          <w:i/>
          <w:color w:val="010000"/>
          <w:szCs w:val="26"/>
        </w:rPr>
        <w:t>“İller teşkilatından gönderilenler ve parti merkezine ait olan kesin hesapların, Merkez Karar ve Yönetim Kurulunca incelenerek karara bağlanacağı”</w:t>
      </w:r>
      <w:r w:rsidRPr="00AC63B5">
        <w:rPr>
          <w:color w:val="010000"/>
          <w:szCs w:val="26"/>
        </w:rPr>
        <w:t xml:space="preserve"> öngörülmüş ve aynı Kanun’un 74. maddesinin ikinci fıkrasında da </w:t>
      </w:r>
      <w:r w:rsidRPr="00AC63B5">
        <w:rPr>
          <w:i/>
          <w:color w:val="010000"/>
          <w:szCs w:val="26"/>
        </w:rPr>
        <w:t>“Siyasi partilerin genel başkanları, karara bağlanarak birleştirilmiş bulunan kesin hesap ile parti merkez ve bağlı ilçeleri de kapsayan iller teşkilatının kesin hesaplarının onaylı birer örneğini Haziran ayı sonuna kadar Anayasa Mahkemesine ve bilgi için Yargıtay Cumhuriyet Başsavcılığına vermek zorundadırlar. Bu belgelere, ilgili siyasi partinin aynı hesap döneminde edindiği taşınmaz ve değeri yüz milyon lirayı aşan taşınır malların, menkul kıymetlerin ve her türlü hakların değerleri ile edinim tarihlerini ve şekillerini de belirten listeleri eklenir.”</w:t>
      </w:r>
      <w:r w:rsidRPr="00AC63B5">
        <w:rPr>
          <w:color w:val="010000"/>
          <w:szCs w:val="26"/>
        </w:rPr>
        <w:t xml:space="preserve"> </w:t>
      </w:r>
      <w:r w:rsidRPr="00AC63B5">
        <w:rPr>
          <w:color w:val="010000"/>
          <w:szCs w:val="26"/>
        </w:rPr>
        <w:t>denilerek il örgütlerinden gönderilen kesin hesaplar ile Parti Genel Merkezine ilişkin kesin hesabın Merkez Karar ve Yönetim Kurulunca incelenerek karara bağlanacağı ve birleştirileceği ve birleştirilmiş kesin hesap cetvellerinin Anayasa Mahkemesine sunulacağı hükme bağlanmıştır.</w:t>
      </w:r>
    </w:p>
    <w:p w:rsidR="00AC63B5" w:rsidRPr="00AC63B5" w:rsidRDefault="00AC63B5" w:rsidP="00AC63B5">
      <w:pPr>
        <w:spacing w:after="200"/>
        <w:ind w:right="283" w:firstLine="709"/>
        <w:jc w:val="both"/>
        <w:rPr>
          <w:color w:val="010000"/>
          <w:szCs w:val="26"/>
        </w:rPr>
      </w:pPr>
      <w:r w:rsidRPr="00AC63B5">
        <w:rPr>
          <w:color w:val="010000"/>
          <w:szCs w:val="26"/>
        </w:rPr>
        <w:t>3. Yargıtay Cumhuriyet Başsavcılığının siyasi parti teşkilat listesinde aktif görünmesine rağmen Hak ve Adalet Partisinin teşkilatlandığı 55 ile ait 2014 yılı kesin hesabının gönderilmediği tespit edilmiştir.</w:t>
      </w:r>
    </w:p>
    <w:p w:rsidR="00AC63B5" w:rsidRPr="00AC63B5" w:rsidRDefault="00AC63B5" w:rsidP="00AC63B5">
      <w:pPr>
        <w:spacing w:after="200"/>
        <w:ind w:right="283" w:firstLine="709"/>
        <w:jc w:val="both"/>
        <w:rPr>
          <w:color w:val="010000"/>
          <w:szCs w:val="26"/>
        </w:rPr>
      </w:pPr>
      <w:r w:rsidRPr="00AC63B5">
        <w:rPr>
          <w:color w:val="010000"/>
          <w:szCs w:val="26"/>
        </w:rPr>
        <w:t>4. Siyasi partiler, genel merkez, il ve ilçe başkanlıklarının faaliyetlerini yürüttükleri taşınmazların maliki olabileceği gibi kiracısı da olabilir. Şayet parti yetkililerine ait taşınmazlarda siyasi faaliyette bulunuluyor ise (genel merkez, il, ilçe teşkilatının faaliyette bulunduğu binalar) bu takdirde kira sözleşmesi düzenlenerek isabet eden tutarın partiye bağış olarak kaydedilmesi gerekir.</w:t>
      </w:r>
    </w:p>
    <w:p w:rsidR="00AC63B5" w:rsidRPr="00AC63B5" w:rsidRDefault="00AC63B5" w:rsidP="00AC63B5">
      <w:pPr>
        <w:spacing w:after="200"/>
        <w:ind w:right="283" w:firstLine="709"/>
        <w:jc w:val="both"/>
        <w:rPr>
          <w:color w:val="010000"/>
          <w:szCs w:val="26"/>
        </w:rPr>
      </w:pPr>
      <w:r w:rsidRPr="00AC63B5">
        <w:rPr>
          <w:color w:val="010000"/>
          <w:szCs w:val="26"/>
        </w:rPr>
        <w:t>5. Ayrıca, partilerin genel merkez, il, ilçe ve belde başkanlıklarının hayatın olağan akışı gereği kira, su, elektrik, posta, telefon, kırtasiye, tutulacak defterlerin satın alınması vb. bir takım genel yönetim giderlerini de yapması gerekir.</w:t>
      </w:r>
      <w:r w:rsidRPr="00AC63B5">
        <w:rPr>
          <w:color w:val="010000"/>
          <w:szCs w:val="26"/>
        </w:rPr>
        <w:t xml:space="preserve"> </w:t>
      </w:r>
    </w:p>
    <w:p w:rsidR="00AC63B5" w:rsidRPr="00AC63B5" w:rsidRDefault="00AC63B5" w:rsidP="00AC63B5">
      <w:pPr>
        <w:spacing w:after="200"/>
        <w:ind w:right="283" w:firstLine="709"/>
        <w:jc w:val="both"/>
        <w:rPr>
          <w:color w:val="010000"/>
          <w:szCs w:val="26"/>
        </w:rPr>
      </w:pPr>
      <w:r w:rsidRPr="00AC63B5">
        <w:rPr>
          <w:color w:val="010000"/>
          <w:szCs w:val="26"/>
        </w:rPr>
        <w:t xml:space="preserve">6.2820 sayılı Kanun’un 69. maddesinde, bir siyasi partinin bütün gelirlerinin, o siyasi partinin tüzelkişiliği adına elde edileceği; 70. maddesinde, siyasi partilerin giderlerinin amaçlarına aykırı olamayacağı ve bir siyasi partinin bütün giderlerinin, o siyasi parti tüzelkişiliği adına yapılacağı; 111. maddesinin birinci fıkrasının (c) bendinde de yapılan inceleme ve araştırmaları engelleyen ve istenen bilgileri vermeyen parti sorumluları hakkında altı aydan bir yıla kadar hapis ve altmış milyon liradan az olmamak üzere ağır para cezası verileceği hüküm altına alınmıştır. Bu </w:t>
      </w:r>
      <w:r w:rsidRPr="00AC63B5">
        <w:rPr>
          <w:color w:val="010000"/>
          <w:szCs w:val="26"/>
        </w:rPr>
        <w:lastRenderedPageBreak/>
        <w:t>hükümlere göre, parti yetkililerinin genel yönetim giderlerini kendi imkânlarıyla karşılamaları mümkün değildir. Parti yetkililerinin, bu şekilde yapmış oldukları harcamaları partiye bağış geliri olarak kaydetmek suretiyle parti tüzelkişiliği adına hesaplara dâhil etmesi gerekir.</w:t>
      </w:r>
      <w:r w:rsidRPr="00AC63B5">
        <w:rPr>
          <w:color w:val="010000"/>
          <w:szCs w:val="26"/>
        </w:rPr>
        <w:t xml:space="preserve"> </w:t>
      </w:r>
    </w:p>
    <w:p w:rsidR="00AC63B5" w:rsidRPr="00AC63B5" w:rsidRDefault="00AC63B5" w:rsidP="00AC63B5">
      <w:pPr>
        <w:spacing w:after="200"/>
        <w:ind w:right="283" w:firstLine="709"/>
        <w:jc w:val="both"/>
        <w:rPr>
          <w:color w:val="010000"/>
          <w:szCs w:val="26"/>
        </w:rPr>
      </w:pPr>
      <w:r w:rsidRPr="00AC63B5">
        <w:rPr>
          <w:color w:val="010000"/>
          <w:szCs w:val="26"/>
        </w:rPr>
        <w:t>7. Yönetim giderlerinin hesaplarda görülmemesi kayıt dışı gelir ve gider oluşturulmuş olduğunu göstermektedir. Bu durumda, 2820 sayılı Kanun’un 69. ve 70. maddelerine aykırı davranılmış olmaktadır.</w:t>
      </w:r>
    </w:p>
    <w:p w:rsidR="00AC63B5" w:rsidRPr="00AC63B5" w:rsidRDefault="00AC63B5" w:rsidP="00AC63B5">
      <w:pPr>
        <w:spacing w:after="200"/>
        <w:ind w:right="283" w:firstLine="709"/>
        <w:jc w:val="both"/>
        <w:rPr>
          <w:color w:val="010000"/>
          <w:szCs w:val="26"/>
        </w:rPr>
      </w:pPr>
      <w:r w:rsidRPr="00AC63B5">
        <w:rPr>
          <w:color w:val="010000"/>
          <w:szCs w:val="26"/>
        </w:rPr>
        <w:t>8. Mahkemeye bilgilerin istendiği şekliyle verilmemesi, hesap verilebilir şekilde kayıt ve belge düzeninin oluşturulmaması, hesabın dışında gelir ve gider oluşturulması, inceleme ve araştırmayı engellemeye yönelik eylemler olduğundan dolayı 2820 sayılı Kanun’un 111. maddesinin birinci fıkrasının (c) bendine istinaden gerekli işlemlerin yapılmasını temin için Ankara Cumhuriyet Başsavcılığına suç duyurusunda bulunulması gerekir.</w:t>
      </w:r>
    </w:p>
    <w:p w:rsidR="00AC63B5" w:rsidRPr="00AC63B5" w:rsidRDefault="00AC63B5" w:rsidP="00AC63B5">
      <w:pPr>
        <w:spacing w:after="200"/>
        <w:ind w:right="283" w:firstLine="709"/>
        <w:jc w:val="both"/>
        <w:rPr>
          <w:color w:val="010000"/>
          <w:szCs w:val="26"/>
        </w:rPr>
      </w:pPr>
      <w:r w:rsidRPr="00AC63B5">
        <w:rPr>
          <w:color w:val="010000"/>
          <w:szCs w:val="26"/>
        </w:rPr>
        <w:t>9. Bu itibarla Hak ve Adalet Partisinin 2014 yılı kesin hesabının incelenmesi sonucunda;</w:t>
      </w:r>
    </w:p>
    <w:p w:rsidR="00AC63B5" w:rsidRPr="00AC63B5" w:rsidRDefault="00AC63B5" w:rsidP="00AC63B5">
      <w:pPr>
        <w:spacing w:after="200"/>
        <w:ind w:right="283" w:firstLine="709"/>
        <w:jc w:val="both"/>
        <w:rPr>
          <w:color w:val="010000"/>
          <w:szCs w:val="26"/>
        </w:rPr>
      </w:pPr>
      <w:r w:rsidRPr="00AC63B5">
        <w:rPr>
          <w:color w:val="010000"/>
          <w:szCs w:val="26"/>
        </w:rPr>
        <w:t>- Genel Merkeze ait kesin hesapların sunulmasından dolayı işin esasının incelenmesine,</w:t>
      </w:r>
      <w:r w:rsidRPr="00AC63B5">
        <w:rPr>
          <w:color w:val="010000"/>
          <w:szCs w:val="26"/>
        </w:rPr>
        <w:t xml:space="preserve"> </w:t>
      </w:r>
    </w:p>
    <w:p w:rsidR="00AC63B5" w:rsidRPr="00AC63B5" w:rsidRDefault="00AC63B5" w:rsidP="00AC63B5">
      <w:pPr>
        <w:spacing w:after="200"/>
        <w:ind w:right="283" w:firstLine="709"/>
        <w:jc w:val="both"/>
        <w:rPr>
          <w:color w:val="010000"/>
          <w:szCs w:val="26"/>
        </w:rPr>
      </w:pPr>
      <w:r w:rsidRPr="00AC63B5">
        <w:rPr>
          <w:color w:val="010000"/>
          <w:szCs w:val="26"/>
        </w:rPr>
        <w:t>- Esas incelemenin yapılabilmesi amacıyla Genel Merkez kesin hesabının dayanağını oluşturan gelir-gider belgeleri ile bu belgelerin kaydedildiği defterleri Sayıştay Başkanlığına göndermesi için Partiye bu kararın tebliğinden itibaren 30 gün süre verilmesine,</w:t>
      </w:r>
    </w:p>
    <w:p w:rsidR="00AC63B5" w:rsidRPr="00AC63B5" w:rsidRDefault="00AC63B5" w:rsidP="00AC63B5">
      <w:pPr>
        <w:spacing w:after="200"/>
        <w:ind w:right="283" w:firstLine="709"/>
        <w:jc w:val="both"/>
        <w:rPr>
          <w:color w:val="010000"/>
          <w:szCs w:val="26"/>
        </w:rPr>
      </w:pPr>
      <w:r w:rsidRPr="00AC63B5">
        <w:rPr>
          <w:color w:val="010000"/>
          <w:szCs w:val="26"/>
        </w:rPr>
        <w:t xml:space="preserve">- Anayasa Mahkemesine istenen bilgilerin istendiği şekliyle verilmemesi, hesap verilebilir şekilde kayıt ve belge düzeninin oluşturulmaması, hesabın dışında gelir ve gider yapılması, inceleme ve araştırmayı engellemeye yönelik eylemler olduğundan, Parti sorumluları </w:t>
      </w:r>
      <w:proofErr w:type="gramStart"/>
      <w:r w:rsidRPr="00AC63B5">
        <w:rPr>
          <w:color w:val="010000"/>
          <w:szCs w:val="26"/>
        </w:rPr>
        <w:t>hakkında</w:t>
      </w:r>
      <w:proofErr w:type="gramEnd"/>
      <w:r w:rsidRPr="00AC63B5">
        <w:rPr>
          <w:color w:val="010000"/>
          <w:szCs w:val="26"/>
        </w:rPr>
        <w:t xml:space="preserve"> 2820 sayılı Kanun’un 111. maddesinin birinci fıkrasının (c) bendi uyarınca yasal işlem yapılması için Ankara Cumhuriyet Başsavcılığına suç duyurusunda bulunulmasına,</w:t>
      </w:r>
    </w:p>
    <w:p w:rsidR="00AC63B5" w:rsidRPr="00AC63B5" w:rsidRDefault="00AC63B5" w:rsidP="00AC63B5">
      <w:pPr>
        <w:spacing w:after="200"/>
        <w:ind w:right="283" w:firstLine="709"/>
        <w:jc w:val="both"/>
        <w:rPr>
          <w:color w:val="010000"/>
          <w:szCs w:val="26"/>
        </w:rPr>
      </w:pPr>
      <w:r w:rsidRPr="00AC63B5">
        <w:rPr>
          <w:color w:val="010000"/>
          <w:szCs w:val="26"/>
        </w:rPr>
        <w:t xml:space="preserve">OYBİRLİĞİYLE karar verilmiştir. </w:t>
      </w:r>
    </w:p>
    <w:p w:rsidR="00AC63B5" w:rsidRPr="00AC63B5" w:rsidRDefault="00AC63B5" w:rsidP="00AC63B5">
      <w:pPr>
        <w:spacing w:after="200"/>
        <w:ind w:right="283" w:firstLine="709"/>
        <w:jc w:val="both"/>
        <w:rPr>
          <w:color w:val="010000"/>
          <w:szCs w:val="26"/>
        </w:rPr>
      </w:pPr>
      <w:r w:rsidRPr="00AC63B5">
        <w:rPr>
          <w:b/>
          <w:bCs/>
          <w:color w:val="010000"/>
          <w:szCs w:val="26"/>
        </w:rPr>
        <w:t>III. ESASIN İNCELENMESİ</w:t>
      </w:r>
    </w:p>
    <w:p w:rsidR="00AC63B5" w:rsidRPr="00AC63B5" w:rsidRDefault="00AC63B5" w:rsidP="00AC63B5">
      <w:pPr>
        <w:spacing w:after="200"/>
        <w:ind w:right="283" w:firstLine="709"/>
        <w:jc w:val="both"/>
        <w:rPr>
          <w:color w:val="010000"/>
          <w:szCs w:val="26"/>
        </w:rPr>
      </w:pPr>
      <w:r w:rsidRPr="00AC63B5">
        <w:rPr>
          <w:color w:val="010000"/>
          <w:szCs w:val="26"/>
        </w:rPr>
        <w:t>10. Hak ve Adalet Partisinin, Anayasa Mahkemesine verdiği 2014 yılı kesin hesap çizelgeleri ile dayanağını oluşturan defter ve belgeler üzerinde yapılan inceleme sonuçlarını içeren ve Sayıştay Başkanlığı tarafından hazırlanıp Raportör Sadettin CEYHAN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AC63B5" w:rsidRPr="00AC63B5" w:rsidRDefault="00AC63B5" w:rsidP="00AC63B5">
      <w:pPr>
        <w:spacing w:after="200"/>
        <w:ind w:right="283" w:firstLine="709"/>
        <w:jc w:val="both"/>
        <w:rPr>
          <w:color w:val="010000"/>
          <w:szCs w:val="26"/>
        </w:rPr>
      </w:pPr>
      <w:r w:rsidRPr="00AC63B5">
        <w:rPr>
          <w:color w:val="010000"/>
          <w:szCs w:val="26"/>
        </w:rPr>
        <w:t>11. Denetimin maddi öğelerini oluşturan defter ve belgelerde Partinin 2014 yılı gelirlerinin 30.411,00 TL, giderler toplamının 30.138,26 TL, gelecek yıla devreden nakit tutarının 890,45 TL olduğu anlaşılmaktadır.</w:t>
      </w:r>
    </w:p>
    <w:p w:rsidR="00AC63B5" w:rsidRPr="00AC63B5" w:rsidRDefault="00AC63B5" w:rsidP="00AC63B5">
      <w:pPr>
        <w:spacing w:after="200"/>
        <w:ind w:right="283" w:firstLine="709"/>
        <w:jc w:val="both"/>
        <w:rPr>
          <w:color w:val="010000"/>
          <w:szCs w:val="26"/>
        </w:rPr>
      </w:pPr>
      <w:r w:rsidRPr="00AC63B5">
        <w:rPr>
          <w:color w:val="010000"/>
          <w:szCs w:val="26"/>
        </w:rPr>
        <w:t>12. Partinin 2014 yılı kesin hesabının gelir ve gider rakamlarının yukarıda açıklanan tutarlardan oluştuğu, bu haliyle 2014 yılı kesin hesabının doğru, denk ve 2820 sayılı Kanun’a uygun olduğu sonucuna varılmıştır.</w:t>
      </w:r>
    </w:p>
    <w:p w:rsidR="00AC63B5" w:rsidRPr="00AC63B5" w:rsidRDefault="00AC63B5" w:rsidP="00AC63B5">
      <w:pPr>
        <w:spacing w:after="200"/>
        <w:ind w:right="283" w:firstLine="709"/>
        <w:jc w:val="both"/>
        <w:rPr>
          <w:color w:val="010000"/>
          <w:szCs w:val="26"/>
        </w:rPr>
      </w:pPr>
      <w:r w:rsidRPr="00AC63B5">
        <w:rPr>
          <w:b/>
          <w:bCs/>
          <w:color w:val="010000"/>
          <w:szCs w:val="26"/>
        </w:rPr>
        <w:t>A.</w:t>
      </w:r>
      <w:r w:rsidRPr="00AC63B5">
        <w:rPr>
          <w:color w:val="010000"/>
          <w:szCs w:val="26"/>
        </w:rPr>
        <w:t xml:space="preserve"> </w:t>
      </w:r>
      <w:r w:rsidRPr="00AC63B5">
        <w:rPr>
          <w:b/>
          <w:bCs/>
          <w:color w:val="010000"/>
          <w:szCs w:val="26"/>
        </w:rPr>
        <w:t>Gelirlerin İncelenmesi</w:t>
      </w:r>
    </w:p>
    <w:p w:rsidR="00AC63B5" w:rsidRPr="00AC63B5" w:rsidRDefault="00AC63B5" w:rsidP="00AC63B5">
      <w:pPr>
        <w:spacing w:after="200"/>
        <w:ind w:right="283" w:firstLine="709"/>
        <w:jc w:val="both"/>
        <w:rPr>
          <w:color w:val="010000"/>
          <w:szCs w:val="26"/>
        </w:rPr>
      </w:pPr>
      <w:r w:rsidRPr="00AC63B5">
        <w:rPr>
          <w:b/>
          <w:bCs/>
          <w:color w:val="010000"/>
          <w:szCs w:val="26"/>
        </w:rPr>
        <w:t>1. Genel Merkez Gelirleri</w:t>
      </w:r>
    </w:p>
    <w:p w:rsidR="00AC63B5" w:rsidRPr="00AC63B5" w:rsidRDefault="00AC63B5" w:rsidP="00AC63B5">
      <w:pPr>
        <w:spacing w:after="200"/>
        <w:ind w:right="283" w:firstLine="709"/>
        <w:jc w:val="both"/>
        <w:rPr>
          <w:color w:val="010000"/>
          <w:szCs w:val="26"/>
        </w:rPr>
      </w:pPr>
      <w:r w:rsidRPr="00AC63B5">
        <w:rPr>
          <w:color w:val="010000"/>
          <w:szCs w:val="26"/>
        </w:rPr>
        <w:t>13. Partinin Genel Merkez gelirleri toplamı 30.411,00 TL olup, bunun 6.607,00 TL’si üye yıllık aidatından, 23.804,00 TL’si bağış gelirlerinden oluşmaktadır.</w:t>
      </w:r>
    </w:p>
    <w:p w:rsidR="00AC63B5" w:rsidRPr="00AC63B5" w:rsidRDefault="00AC63B5" w:rsidP="00AC63B5">
      <w:pPr>
        <w:spacing w:after="200"/>
        <w:ind w:right="283" w:firstLine="709"/>
        <w:jc w:val="both"/>
        <w:rPr>
          <w:color w:val="010000"/>
          <w:szCs w:val="26"/>
        </w:rPr>
      </w:pPr>
      <w:r w:rsidRPr="00AC63B5">
        <w:rPr>
          <w:color w:val="010000"/>
          <w:szCs w:val="26"/>
        </w:rPr>
        <w:lastRenderedPageBreak/>
        <w:t>14. Parti Genel Merkezinin defter kayıtları ve gelir belgeleri üzerinde yapılan incelemede, gelirlerin 2820 sayılı Kanun’a uygun olarak sağlandığı sonucuna varılmıştır.</w:t>
      </w:r>
    </w:p>
    <w:p w:rsidR="00AC63B5" w:rsidRPr="00AC63B5" w:rsidRDefault="00AC63B5" w:rsidP="00AC63B5">
      <w:pPr>
        <w:spacing w:after="200"/>
        <w:ind w:right="283" w:firstLine="709"/>
        <w:jc w:val="both"/>
        <w:rPr>
          <w:b/>
          <w:color w:val="010000"/>
          <w:szCs w:val="26"/>
        </w:rPr>
      </w:pPr>
      <w:r w:rsidRPr="00AC63B5">
        <w:rPr>
          <w:b/>
          <w:color w:val="010000"/>
          <w:szCs w:val="26"/>
        </w:rPr>
        <w:t>2. İl Örgütleri Gelirleri</w:t>
      </w:r>
    </w:p>
    <w:p w:rsidR="00AC63B5" w:rsidRPr="00AC63B5" w:rsidRDefault="00AC63B5" w:rsidP="00AC63B5">
      <w:pPr>
        <w:spacing w:after="200"/>
        <w:ind w:right="283" w:firstLine="709"/>
        <w:jc w:val="both"/>
        <w:rPr>
          <w:color w:val="010000"/>
          <w:szCs w:val="26"/>
        </w:rPr>
      </w:pPr>
      <w:r w:rsidRPr="00AC63B5">
        <w:rPr>
          <w:color w:val="010000"/>
          <w:szCs w:val="26"/>
        </w:rPr>
        <w:t>15. Parti il örgütlerine ilişkin herhangi bir gelir bildiriminde bulunmamıştır.</w:t>
      </w:r>
    </w:p>
    <w:p w:rsidR="00AC63B5" w:rsidRPr="00AC63B5" w:rsidRDefault="00AC63B5" w:rsidP="00AC63B5">
      <w:pPr>
        <w:spacing w:after="200"/>
        <w:ind w:right="283" w:firstLine="709"/>
        <w:jc w:val="both"/>
        <w:rPr>
          <w:color w:val="010000"/>
          <w:szCs w:val="26"/>
        </w:rPr>
      </w:pPr>
      <w:r w:rsidRPr="00AC63B5">
        <w:rPr>
          <w:b/>
          <w:bCs/>
          <w:color w:val="010000"/>
          <w:szCs w:val="26"/>
        </w:rPr>
        <w:t>B. Giderlerin İncelenmesi</w:t>
      </w:r>
    </w:p>
    <w:p w:rsidR="00AC63B5" w:rsidRPr="00AC63B5" w:rsidRDefault="00AC63B5" w:rsidP="00AC63B5">
      <w:pPr>
        <w:spacing w:after="200"/>
        <w:ind w:right="283" w:firstLine="709"/>
        <w:jc w:val="both"/>
        <w:rPr>
          <w:color w:val="010000"/>
          <w:szCs w:val="26"/>
        </w:rPr>
      </w:pPr>
      <w:r w:rsidRPr="00AC63B5">
        <w:rPr>
          <w:b/>
          <w:bCs/>
          <w:color w:val="010000"/>
          <w:szCs w:val="26"/>
        </w:rPr>
        <w:t>1. Genel Merkez Giderleri</w:t>
      </w:r>
    </w:p>
    <w:p w:rsidR="00AC63B5" w:rsidRPr="00AC63B5" w:rsidRDefault="00AC63B5" w:rsidP="00AC63B5">
      <w:pPr>
        <w:spacing w:after="200"/>
        <w:ind w:right="283" w:firstLine="709"/>
        <w:jc w:val="both"/>
        <w:rPr>
          <w:color w:val="010000"/>
          <w:szCs w:val="26"/>
        </w:rPr>
      </w:pPr>
      <w:r w:rsidRPr="00AC63B5">
        <w:rPr>
          <w:color w:val="010000"/>
          <w:szCs w:val="26"/>
        </w:rPr>
        <w:t>16. Partinin Genel Merkez giderleri toplamı 30.138,26 TL olup, bunun 5.334,47 TL’si temsil ve ağırlama giderlerinden, 5.002,90 TL’si kırtasiye ve büro giderlerinden, 904,14 TL’si haberleşme giderlerinden, 5.671,97 TL’si seyahat giderlerinden,</w:t>
      </w:r>
      <w:r w:rsidRPr="00AC63B5">
        <w:rPr>
          <w:color w:val="010000"/>
          <w:szCs w:val="26"/>
        </w:rPr>
        <w:t xml:space="preserve"> </w:t>
      </w:r>
      <w:r w:rsidRPr="00AC63B5">
        <w:rPr>
          <w:color w:val="010000"/>
          <w:szCs w:val="26"/>
        </w:rPr>
        <w:t>2.500,00 TL’si kira giderlerinden, 5.842,43 TL’si bakım ve onarım giderlerinden ve 4.882,35 TL’si ısınma, aydınlatma ve temizlik giderlerinden oluşmaktadır.</w:t>
      </w:r>
    </w:p>
    <w:p w:rsidR="00AC63B5" w:rsidRPr="00AC63B5" w:rsidRDefault="00AC63B5" w:rsidP="00AC63B5">
      <w:pPr>
        <w:spacing w:after="200"/>
        <w:ind w:right="283" w:firstLine="709"/>
        <w:jc w:val="both"/>
        <w:rPr>
          <w:color w:val="010000"/>
          <w:szCs w:val="26"/>
        </w:rPr>
      </w:pPr>
      <w:r w:rsidRPr="00AC63B5">
        <w:rPr>
          <w:color w:val="010000"/>
          <w:szCs w:val="26"/>
        </w:rPr>
        <w:t>17. Parti Genel Merkezinin defter kayıtları ve gider belgeleri üzerinde yapılan incelemede, giderlerin 2820 sayılı Kanun’a uygun olarak gerçekleştirildiği sonucuna varılmıştır.</w:t>
      </w:r>
    </w:p>
    <w:p w:rsidR="00AC63B5" w:rsidRPr="00AC63B5" w:rsidRDefault="00AC63B5" w:rsidP="00AC63B5">
      <w:pPr>
        <w:spacing w:after="200"/>
        <w:ind w:right="283" w:firstLine="709"/>
        <w:jc w:val="both"/>
        <w:rPr>
          <w:b/>
          <w:color w:val="010000"/>
          <w:szCs w:val="26"/>
        </w:rPr>
      </w:pPr>
      <w:r w:rsidRPr="00AC63B5">
        <w:rPr>
          <w:b/>
          <w:color w:val="010000"/>
          <w:szCs w:val="26"/>
        </w:rPr>
        <w:t>2. İl Örgütleri Giderleri</w:t>
      </w:r>
    </w:p>
    <w:p w:rsidR="00AC63B5" w:rsidRPr="00AC63B5" w:rsidRDefault="00AC63B5" w:rsidP="00AC63B5">
      <w:pPr>
        <w:spacing w:after="200"/>
        <w:ind w:right="283" w:firstLine="709"/>
        <w:jc w:val="both"/>
        <w:rPr>
          <w:color w:val="010000"/>
          <w:szCs w:val="26"/>
        </w:rPr>
      </w:pPr>
      <w:r w:rsidRPr="00AC63B5">
        <w:rPr>
          <w:color w:val="010000"/>
          <w:szCs w:val="26"/>
        </w:rPr>
        <w:t>18. Parti il örgütlerine ilişkin herhangi bir gider bildiriminde bulunmamıştır.</w:t>
      </w:r>
    </w:p>
    <w:p w:rsidR="00AC63B5" w:rsidRPr="00AC63B5" w:rsidRDefault="00AC63B5" w:rsidP="00AC63B5">
      <w:pPr>
        <w:spacing w:after="200"/>
        <w:ind w:right="283" w:firstLine="709"/>
        <w:jc w:val="both"/>
        <w:rPr>
          <w:color w:val="010000"/>
          <w:szCs w:val="26"/>
        </w:rPr>
      </w:pPr>
      <w:r w:rsidRPr="00AC63B5">
        <w:rPr>
          <w:b/>
          <w:bCs/>
          <w:color w:val="010000"/>
          <w:szCs w:val="26"/>
        </w:rPr>
        <w:t>C. Parti Mallarının İncelenmesi</w:t>
      </w:r>
    </w:p>
    <w:p w:rsidR="00AC63B5" w:rsidRPr="00AC63B5" w:rsidRDefault="00AC63B5" w:rsidP="00AC63B5">
      <w:pPr>
        <w:spacing w:after="200"/>
        <w:ind w:right="283" w:firstLine="709"/>
        <w:jc w:val="both"/>
        <w:rPr>
          <w:color w:val="010000"/>
          <w:szCs w:val="26"/>
        </w:rPr>
      </w:pPr>
      <w:r w:rsidRPr="00AC63B5">
        <w:rPr>
          <w:color w:val="010000"/>
          <w:szCs w:val="26"/>
        </w:rPr>
        <w:t>19. Partinin 2014 yılı defter ve belgeleri üzerinde yapılan incelemede, herhangi bir taşınır, taşınmaz mal ve menkul kıymet ediniminin olmadığı anlaşılmıştır.</w:t>
      </w:r>
    </w:p>
    <w:p w:rsidR="00AC63B5" w:rsidRPr="00AC63B5" w:rsidRDefault="00AC63B5" w:rsidP="00AC63B5">
      <w:pPr>
        <w:spacing w:after="200"/>
        <w:ind w:right="283" w:firstLine="709"/>
        <w:jc w:val="both"/>
        <w:rPr>
          <w:color w:val="010000"/>
          <w:szCs w:val="26"/>
        </w:rPr>
      </w:pPr>
      <w:r w:rsidRPr="00AC63B5">
        <w:rPr>
          <w:b/>
          <w:bCs/>
          <w:color w:val="010000"/>
          <w:szCs w:val="26"/>
        </w:rPr>
        <w:t>IV. SONUÇ</w:t>
      </w:r>
    </w:p>
    <w:p w:rsidR="00AC63B5" w:rsidRPr="00AC63B5" w:rsidRDefault="00AC63B5" w:rsidP="00AC63B5">
      <w:pPr>
        <w:spacing w:after="200"/>
        <w:ind w:right="283" w:firstLine="709"/>
        <w:jc w:val="both"/>
        <w:rPr>
          <w:color w:val="010000"/>
          <w:szCs w:val="26"/>
        </w:rPr>
      </w:pPr>
      <w:r w:rsidRPr="00AC63B5">
        <w:rPr>
          <w:color w:val="010000"/>
          <w:szCs w:val="26"/>
        </w:rPr>
        <w:t xml:space="preserve">Hak ve Adalet Partisinin 2014 yılı kesin hesabının incelenmesi sonucunda; </w:t>
      </w:r>
    </w:p>
    <w:p w:rsidR="00AC63B5" w:rsidRPr="00AC63B5" w:rsidRDefault="00AC63B5" w:rsidP="00AC63B5">
      <w:pPr>
        <w:spacing w:after="200"/>
        <w:ind w:right="283" w:firstLine="709"/>
        <w:jc w:val="both"/>
        <w:rPr>
          <w:color w:val="010000"/>
          <w:szCs w:val="26"/>
        </w:rPr>
      </w:pPr>
      <w:r w:rsidRPr="00AC63B5">
        <w:rPr>
          <w:color w:val="010000"/>
          <w:szCs w:val="26"/>
        </w:rPr>
        <w:t>Partinin 2014 yılı kesin hesabında gösterilen 30.411,00 TL gelir ve 30.138,26 TL giderin eldeki bilgi ve belgelere göre doğru, denk ve 2820 sayılı Siyasi Partiler Kanunu’na uygun olduğuna, 4.1.2018 tarihinde OYBİRLİĞİYLE karar verildi.</w:t>
      </w:r>
    </w:p>
    <w:p w:rsidR="00AC63B5" w:rsidRPr="00AC63B5" w:rsidRDefault="00AC63B5" w:rsidP="00AC63B5">
      <w:pPr>
        <w:spacing w:after="200"/>
        <w:ind w:right="283" w:firstLine="709"/>
        <w:jc w:val="both"/>
        <w:rPr>
          <w:b/>
          <w:bCs/>
          <w:color w:val="010000"/>
          <w:szCs w:val="26"/>
        </w:rPr>
      </w:pPr>
    </w:p>
    <w:p w:rsidR="00AC63B5" w:rsidRDefault="00AC63B5"/>
    <w:tbl>
      <w:tblPr>
        <w:tblW w:w="5000" w:type="pct"/>
        <w:jc w:val="center"/>
        <w:tblLook w:val="04A0" w:firstRow="1" w:lastRow="0" w:firstColumn="1" w:lastColumn="0" w:noHBand="0" w:noVBand="1"/>
      </w:tblPr>
      <w:tblGrid>
        <w:gridCol w:w="3259"/>
        <w:gridCol w:w="1631"/>
        <w:gridCol w:w="1627"/>
        <w:gridCol w:w="3263"/>
      </w:tblGrid>
      <w:tr w:rsidR="00AC63B5" w:rsidRPr="00AC63B5" w:rsidTr="00AC63B5">
        <w:trPr>
          <w:jc w:val="center"/>
        </w:trPr>
        <w:tc>
          <w:tcPr>
            <w:tcW w:w="1666" w:type="pct"/>
            <w:hideMark/>
          </w:tcPr>
          <w:p w:rsidR="00AC63B5" w:rsidRPr="00AC63B5" w:rsidRDefault="00AC63B5" w:rsidP="00AC63B5">
            <w:pPr>
              <w:overflowPunct w:val="0"/>
              <w:autoSpaceDE w:val="0"/>
              <w:autoSpaceDN w:val="0"/>
              <w:adjustRightInd w:val="0"/>
              <w:spacing w:before="240" w:after="240"/>
              <w:jc w:val="center"/>
              <w:rPr>
                <w:color w:val="010000"/>
                <w:szCs w:val="26"/>
              </w:rPr>
            </w:pPr>
            <w:r w:rsidRPr="00AC63B5">
              <w:rPr>
                <w:b/>
                <w:bCs/>
                <w:color w:val="010000"/>
                <w:szCs w:val="26"/>
              </w:rPr>
              <w:t xml:space="preserve"> </w:t>
            </w:r>
            <w:r w:rsidRPr="00AC63B5">
              <w:rPr>
                <w:color w:val="010000"/>
                <w:szCs w:val="26"/>
              </w:rPr>
              <w:t>Başkan</w:t>
            </w:r>
          </w:p>
          <w:p w:rsidR="00AC63B5" w:rsidRPr="00AC63B5" w:rsidRDefault="00AC63B5" w:rsidP="00AC63B5">
            <w:pPr>
              <w:overflowPunct w:val="0"/>
              <w:autoSpaceDE w:val="0"/>
              <w:autoSpaceDN w:val="0"/>
              <w:adjustRightInd w:val="0"/>
              <w:spacing w:before="240" w:after="240"/>
              <w:jc w:val="center"/>
              <w:rPr>
                <w:color w:val="010000"/>
                <w:szCs w:val="26"/>
              </w:rPr>
            </w:pPr>
            <w:r w:rsidRPr="00AC63B5">
              <w:rPr>
                <w:color w:val="010000"/>
                <w:szCs w:val="26"/>
              </w:rPr>
              <w:t>Zühtü ARSLAN</w:t>
            </w:r>
          </w:p>
        </w:tc>
        <w:tc>
          <w:tcPr>
            <w:tcW w:w="1666" w:type="pct"/>
            <w:gridSpan w:val="2"/>
            <w:hideMark/>
          </w:tcPr>
          <w:p w:rsidR="00AC63B5" w:rsidRPr="00AC63B5" w:rsidRDefault="00AC63B5" w:rsidP="00AC63B5">
            <w:pPr>
              <w:overflowPunct w:val="0"/>
              <w:autoSpaceDE w:val="0"/>
              <w:autoSpaceDN w:val="0"/>
              <w:adjustRightInd w:val="0"/>
              <w:spacing w:before="240" w:after="240"/>
              <w:jc w:val="center"/>
              <w:rPr>
                <w:color w:val="010000"/>
                <w:szCs w:val="26"/>
              </w:rPr>
            </w:pPr>
            <w:r w:rsidRPr="00AC63B5">
              <w:rPr>
                <w:color w:val="010000"/>
                <w:szCs w:val="26"/>
              </w:rPr>
              <w:t>Başkanvekili</w:t>
            </w:r>
          </w:p>
          <w:p w:rsidR="00AC63B5" w:rsidRPr="00AC63B5" w:rsidRDefault="00AC63B5" w:rsidP="00AC63B5">
            <w:pPr>
              <w:overflowPunct w:val="0"/>
              <w:autoSpaceDE w:val="0"/>
              <w:autoSpaceDN w:val="0"/>
              <w:adjustRightInd w:val="0"/>
              <w:spacing w:before="240" w:after="240"/>
              <w:jc w:val="center"/>
              <w:rPr>
                <w:color w:val="010000"/>
                <w:szCs w:val="26"/>
              </w:rPr>
            </w:pPr>
            <w:r w:rsidRPr="00AC63B5">
              <w:rPr>
                <w:color w:val="010000"/>
                <w:szCs w:val="26"/>
              </w:rPr>
              <w:t>Burhan ÜSTÜN</w:t>
            </w:r>
          </w:p>
        </w:tc>
        <w:tc>
          <w:tcPr>
            <w:tcW w:w="1668" w:type="pct"/>
            <w:hideMark/>
          </w:tcPr>
          <w:p w:rsidR="00AC63B5" w:rsidRPr="00AC63B5" w:rsidRDefault="00AC63B5" w:rsidP="00AC63B5">
            <w:pPr>
              <w:overflowPunct w:val="0"/>
              <w:autoSpaceDE w:val="0"/>
              <w:autoSpaceDN w:val="0"/>
              <w:adjustRightInd w:val="0"/>
              <w:spacing w:before="240" w:after="240"/>
              <w:jc w:val="center"/>
              <w:rPr>
                <w:color w:val="010000"/>
                <w:szCs w:val="26"/>
              </w:rPr>
            </w:pPr>
            <w:r w:rsidRPr="00AC63B5">
              <w:rPr>
                <w:color w:val="010000"/>
                <w:szCs w:val="26"/>
              </w:rPr>
              <w:t>Başkanvekili</w:t>
            </w:r>
          </w:p>
          <w:p w:rsidR="00AC63B5" w:rsidRPr="00AC63B5" w:rsidRDefault="00AC63B5" w:rsidP="00AC63B5">
            <w:pPr>
              <w:overflowPunct w:val="0"/>
              <w:autoSpaceDE w:val="0"/>
              <w:autoSpaceDN w:val="0"/>
              <w:adjustRightInd w:val="0"/>
              <w:spacing w:before="240" w:after="240"/>
              <w:jc w:val="center"/>
              <w:rPr>
                <w:color w:val="010000"/>
                <w:szCs w:val="26"/>
              </w:rPr>
            </w:pPr>
            <w:r w:rsidRPr="00AC63B5">
              <w:rPr>
                <w:color w:val="010000"/>
                <w:szCs w:val="26"/>
              </w:rPr>
              <w:t>Engin YILDIRIM</w:t>
            </w:r>
          </w:p>
        </w:tc>
      </w:tr>
      <w:tr w:rsidR="00AC63B5" w:rsidRPr="00AC63B5" w:rsidTr="00AC63B5">
        <w:trPr>
          <w:jc w:val="center"/>
        </w:trPr>
        <w:tc>
          <w:tcPr>
            <w:tcW w:w="1666" w:type="pct"/>
            <w:hideMark/>
          </w:tcPr>
          <w:p w:rsidR="00AC63B5" w:rsidRPr="00AC63B5" w:rsidRDefault="00AC63B5" w:rsidP="00AC63B5">
            <w:pPr>
              <w:overflowPunct w:val="0"/>
              <w:autoSpaceDE w:val="0"/>
              <w:autoSpaceDN w:val="0"/>
              <w:adjustRightInd w:val="0"/>
              <w:spacing w:before="240" w:after="240"/>
              <w:jc w:val="center"/>
              <w:rPr>
                <w:color w:val="010000"/>
                <w:szCs w:val="26"/>
              </w:rPr>
            </w:pPr>
            <w:r w:rsidRPr="00AC63B5">
              <w:rPr>
                <w:color w:val="010000"/>
                <w:szCs w:val="26"/>
              </w:rPr>
              <w:t>Üye</w:t>
            </w:r>
          </w:p>
          <w:p w:rsidR="00AC63B5" w:rsidRPr="00AC63B5" w:rsidRDefault="00AC63B5" w:rsidP="00AC63B5">
            <w:pPr>
              <w:spacing w:before="240" w:after="240"/>
              <w:jc w:val="center"/>
              <w:rPr>
                <w:color w:val="010000"/>
                <w:szCs w:val="26"/>
              </w:rPr>
            </w:pPr>
            <w:r w:rsidRPr="00AC63B5">
              <w:rPr>
                <w:color w:val="010000"/>
                <w:szCs w:val="26"/>
              </w:rPr>
              <w:t>Serdar ÖZGÜLDÜR</w:t>
            </w:r>
          </w:p>
        </w:tc>
        <w:tc>
          <w:tcPr>
            <w:tcW w:w="1666" w:type="pct"/>
            <w:gridSpan w:val="2"/>
            <w:hideMark/>
          </w:tcPr>
          <w:p w:rsidR="00AC63B5" w:rsidRPr="00AC63B5" w:rsidRDefault="00AC63B5" w:rsidP="00AC63B5">
            <w:pPr>
              <w:spacing w:before="240" w:after="240"/>
              <w:jc w:val="center"/>
              <w:rPr>
                <w:color w:val="010000"/>
                <w:szCs w:val="26"/>
              </w:rPr>
            </w:pPr>
            <w:r w:rsidRPr="00AC63B5">
              <w:rPr>
                <w:color w:val="010000"/>
                <w:szCs w:val="26"/>
              </w:rPr>
              <w:t>Üye</w:t>
            </w:r>
          </w:p>
          <w:p w:rsidR="00AC63B5" w:rsidRPr="00AC63B5" w:rsidRDefault="00AC63B5" w:rsidP="00AC63B5">
            <w:pPr>
              <w:spacing w:before="240" w:after="240"/>
              <w:jc w:val="center"/>
              <w:rPr>
                <w:color w:val="010000"/>
                <w:szCs w:val="26"/>
              </w:rPr>
            </w:pPr>
            <w:proofErr w:type="spellStart"/>
            <w:r w:rsidRPr="00AC63B5">
              <w:rPr>
                <w:color w:val="010000"/>
                <w:szCs w:val="26"/>
              </w:rPr>
              <w:t>Serruh</w:t>
            </w:r>
            <w:proofErr w:type="spellEnd"/>
            <w:r w:rsidRPr="00AC63B5">
              <w:rPr>
                <w:color w:val="010000"/>
                <w:szCs w:val="26"/>
              </w:rPr>
              <w:t xml:space="preserve"> KALELİ</w:t>
            </w:r>
          </w:p>
        </w:tc>
        <w:tc>
          <w:tcPr>
            <w:tcW w:w="1668" w:type="pct"/>
            <w:hideMark/>
          </w:tcPr>
          <w:p w:rsidR="00AC63B5" w:rsidRPr="00AC63B5" w:rsidRDefault="00AC63B5" w:rsidP="00AC63B5">
            <w:pPr>
              <w:overflowPunct w:val="0"/>
              <w:autoSpaceDE w:val="0"/>
              <w:autoSpaceDN w:val="0"/>
              <w:adjustRightInd w:val="0"/>
              <w:spacing w:before="240" w:after="240"/>
              <w:jc w:val="center"/>
              <w:rPr>
                <w:color w:val="010000"/>
                <w:szCs w:val="26"/>
              </w:rPr>
            </w:pPr>
            <w:r w:rsidRPr="00AC63B5">
              <w:rPr>
                <w:color w:val="010000"/>
                <w:szCs w:val="26"/>
              </w:rPr>
              <w:t>Üye</w:t>
            </w:r>
          </w:p>
          <w:p w:rsidR="00AC63B5" w:rsidRPr="00AC63B5" w:rsidRDefault="00AC63B5" w:rsidP="00AC63B5">
            <w:pPr>
              <w:spacing w:before="240" w:after="240"/>
              <w:jc w:val="center"/>
              <w:rPr>
                <w:color w:val="010000"/>
                <w:szCs w:val="26"/>
              </w:rPr>
            </w:pPr>
            <w:r w:rsidRPr="00AC63B5">
              <w:rPr>
                <w:color w:val="010000"/>
                <w:szCs w:val="26"/>
              </w:rPr>
              <w:t xml:space="preserve">Osman </w:t>
            </w:r>
            <w:proofErr w:type="spellStart"/>
            <w:r w:rsidRPr="00AC63B5">
              <w:rPr>
                <w:color w:val="010000"/>
                <w:szCs w:val="26"/>
              </w:rPr>
              <w:t>Alifeyyaz</w:t>
            </w:r>
            <w:proofErr w:type="spellEnd"/>
            <w:r w:rsidRPr="00AC63B5">
              <w:rPr>
                <w:color w:val="010000"/>
                <w:szCs w:val="26"/>
              </w:rPr>
              <w:t xml:space="preserve"> PAKSÜT</w:t>
            </w:r>
          </w:p>
        </w:tc>
      </w:tr>
      <w:tr w:rsidR="00AC63B5" w:rsidRPr="00AC63B5" w:rsidTr="00AC63B5">
        <w:trPr>
          <w:jc w:val="center"/>
        </w:trPr>
        <w:tc>
          <w:tcPr>
            <w:tcW w:w="1666" w:type="pct"/>
            <w:hideMark/>
          </w:tcPr>
          <w:p w:rsidR="00AC63B5" w:rsidRPr="00AC63B5" w:rsidRDefault="00AC63B5" w:rsidP="00AC63B5">
            <w:pPr>
              <w:overflowPunct w:val="0"/>
              <w:autoSpaceDE w:val="0"/>
              <w:autoSpaceDN w:val="0"/>
              <w:adjustRightInd w:val="0"/>
              <w:spacing w:before="240" w:after="240"/>
              <w:jc w:val="center"/>
              <w:rPr>
                <w:color w:val="010000"/>
                <w:szCs w:val="26"/>
              </w:rPr>
            </w:pPr>
            <w:r w:rsidRPr="00AC63B5">
              <w:rPr>
                <w:color w:val="010000"/>
                <w:szCs w:val="26"/>
              </w:rPr>
              <w:t>Üye</w:t>
            </w:r>
          </w:p>
          <w:p w:rsidR="00AC63B5" w:rsidRPr="00AC63B5" w:rsidRDefault="00AC63B5" w:rsidP="00AC63B5">
            <w:pPr>
              <w:spacing w:before="240" w:after="240"/>
              <w:jc w:val="center"/>
              <w:rPr>
                <w:color w:val="010000"/>
                <w:szCs w:val="26"/>
              </w:rPr>
            </w:pPr>
            <w:r w:rsidRPr="00AC63B5">
              <w:rPr>
                <w:color w:val="010000"/>
                <w:szCs w:val="26"/>
              </w:rPr>
              <w:t>Recep KÖMÜRCÜ</w:t>
            </w:r>
          </w:p>
        </w:tc>
        <w:tc>
          <w:tcPr>
            <w:tcW w:w="1666" w:type="pct"/>
            <w:gridSpan w:val="2"/>
            <w:hideMark/>
          </w:tcPr>
          <w:p w:rsidR="00AC63B5" w:rsidRPr="00AC63B5" w:rsidRDefault="00AC63B5" w:rsidP="00AC63B5">
            <w:pPr>
              <w:overflowPunct w:val="0"/>
              <w:autoSpaceDE w:val="0"/>
              <w:autoSpaceDN w:val="0"/>
              <w:adjustRightInd w:val="0"/>
              <w:spacing w:before="240" w:after="240"/>
              <w:jc w:val="center"/>
              <w:rPr>
                <w:color w:val="010000"/>
                <w:szCs w:val="26"/>
              </w:rPr>
            </w:pPr>
            <w:r w:rsidRPr="00AC63B5">
              <w:rPr>
                <w:color w:val="010000"/>
                <w:szCs w:val="26"/>
              </w:rPr>
              <w:t>Üye</w:t>
            </w:r>
          </w:p>
          <w:p w:rsidR="00AC63B5" w:rsidRPr="00AC63B5" w:rsidRDefault="00AC63B5" w:rsidP="00AC63B5">
            <w:pPr>
              <w:spacing w:before="240" w:after="240"/>
              <w:jc w:val="center"/>
              <w:rPr>
                <w:color w:val="010000"/>
                <w:szCs w:val="26"/>
              </w:rPr>
            </w:pPr>
            <w:r w:rsidRPr="00AC63B5">
              <w:rPr>
                <w:color w:val="010000"/>
                <w:szCs w:val="26"/>
              </w:rPr>
              <w:t>Nuri NECİPOĞLU</w:t>
            </w:r>
          </w:p>
        </w:tc>
        <w:tc>
          <w:tcPr>
            <w:tcW w:w="1668" w:type="pct"/>
            <w:hideMark/>
          </w:tcPr>
          <w:p w:rsidR="00AC63B5" w:rsidRPr="00AC63B5" w:rsidRDefault="00AC63B5" w:rsidP="00AC63B5">
            <w:pPr>
              <w:overflowPunct w:val="0"/>
              <w:autoSpaceDE w:val="0"/>
              <w:autoSpaceDN w:val="0"/>
              <w:adjustRightInd w:val="0"/>
              <w:spacing w:before="240" w:after="240"/>
              <w:jc w:val="center"/>
              <w:rPr>
                <w:color w:val="010000"/>
                <w:szCs w:val="26"/>
              </w:rPr>
            </w:pPr>
            <w:r w:rsidRPr="00AC63B5">
              <w:rPr>
                <w:color w:val="010000"/>
                <w:szCs w:val="26"/>
              </w:rPr>
              <w:t>Üye</w:t>
            </w:r>
          </w:p>
          <w:p w:rsidR="00AC63B5" w:rsidRPr="00AC63B5" w:rsidRDefault="00AC63B5" w:rsidP="00AC63B5">
            <w:pPr>
              <w:spacing w:before="240" w:after="240"/>
              <w:jc w:val="center"/>
              <w:rPr>
                <w:color w:val="010000"/>
                <w:szCs w:val="26"/>
              </w:rPr>
            </w:pPr>
            <w:proofErr w:type="spellStart"/>
            <w:r w:rsidRPr="00AC63B5">
              <w:rPr>
                <w:color w:val="010000"/>
                <w:szCs w:val="26"/>
              </w:rPr>
              <w:t>Hicabi</w:t>
            </w:r>
            <w:proofErr w:type="spellEnd"/>
            <w:r w:rsidRPr="00AC63B5">
              <w:rPr>
                <w:color w:val="010000"/>
                <w:szCs w:val="26"/>
              </w:rPr>
              <w:t xml:space="preserve"> DURSUN</w:t>
            </w:r>
          </w:p>
        </w:tc>
      </w:tr>
      <w:tr w:rsidR="00AC63B5" w:rsidRPr="00AC63B5" w:rsidTr="00AC63B5">
        <w:trPr>
          <w:jc w:val="center"/>
        </w:trPr>
        <w:tc>
          <w:tcPr>
            <w:tcW w:w="1666" w:type="pct"/>
            <w:hideMark/>
          </w:tcPr>
          <w:p w:rsidR="00AC63B5" w:rsidRPr="00AC63B5" w:rsidRDefault="00AC63B5" w:rsidP="00AC63B5">
            <w:pPr>
              <w:overflowPunct w:val="0"/>
              <w:autoSpaceDE w:val="0"/>
              <w:autoSpaceDN w:val="0"/>
              <w:adjustRightInd w:val="0"/>
              <w:spacing w:before="240" w:after="240"/>
              <w:jc w:val="center"/>
              <w:rPr>
                <w:color w:val="010000"/>
                <w:szCs w:val="26"/>
              </w:rPr>
            </w:pPr>
            <w:r w:rsidRPr="00AC63B5">
              <w:rPr>
                <w:color w:val="010000"/>
                <w:szCs w:val="26"/>
              </w:rPr>
              <w:lastRenderedPageBreak/>
              <w:t>Üye</w:t>
            </w:r>
          </w:p>
          <w:p w:rsidR="00AC63B5" w:rsidRPr="00AC63B5" w:rsidRDefault="00AC63B5" w:rsidP="00AC63B5">
            <w:pPr>
              <w:spacing w:before="240" w:after="240"/>
              <w:jc w:val="center"/>
              <w:rPr>
                <w:color w:val="010000"/>
                <w:szCs w:val="26"/>
              </w:rPr>
            </w:pPr>
            <w:r w:rsidRPr="00AC63B5">
              <w:rPr>
                <w:color w:val="010000"/>
                <w:szCs w:val="26"/>
              </w:rPr>
              <w:t>Celal Mümtaz AKINCI</w:t>
            </w:r>
          </w:p>
        </w:tc>
        <w:tc>
          <w:tcPr>
            <w:tcW w:w="1666" w:type="pct"/>
            <w:gridSpan w:val="2"/>
            <w:hideMark/>
          </w:tcPr>
          <w:p w:rsidR="00AC63B5" w:rsidRPr="00AC63B5" w:rsidRDefault="00AC63B5" w:rsidP="00AC63B5">
            <w:pPr>
              <w:spacing w:before="240" w:after="240"/>
              <w:jc w:val="center"/>
              <w:rPr>
                <w:color w:val="010000"/>
                <w:szCs w:val="26"/>
              </w:rPr>
            </w:pPr>
            <w:r w:rsidRPr="00AC63B5">
              <w:rPr>
                <w:color w:val="010000"/>
                <w:szCs w:val="26"/>
              </w:rPr>
              <w:t>Üye</w:t>
            </w:r>
          </w:p>
          <w:p w:rsidR="00AC63B5" w:rsidRPr="00AC63B5" w:rsidRDefault="00AC63B5" w:rsidP="00AC63B5">
            <w:pPr>
              <w:spacing w:before="240" w:after="240"/>
              <w:jc w:val="center"/>
              <w:rPr>
                <w:color w:val="010000"/>
                <w:szCs w:val="26"/>
              </w:rPr>
            </w:pPr>
            <w:r w:rsidRPr="00AC63B5">
              <w:rPr>
                <w:color w:val="010000"/>
                <w:szCs w:val="26"/>
              </w:rPr>
              <w:t>Muammer TOPAL</w:t>
            </w:r>
          </w:p>
        </w:tc>
        <w:tc>
          <w:tcPr>
            <w:tcW w:w="1668" w:type="pct"/>
            <w:hideMark/>
          </w:tcPr>
          <w:p w:rsidR="00AC63B5" w:rsidRPr="00AC63B5" w:rsidRDefault="00AC63B5" w:rsidP="00AC63B5">
            <w:pPr>
              <w:overflowPunct w:val="0"/>
              <w:autoSpaceDE w:val="0"/>
              <w:autoSpaceDN w:val="0"/>
              <w:adjustRightInd w:val="0"/>
              <w:spacing w:before="240" w:after="240"/>
              <w:jc w:val="center"/>
              <w:rPr>
                <w:color w:val="010000"/>
                <w:szCs w:val="26"/>
              </w:rPr>
            </w:pPr>
            <w:r w:rsidRPr="00AC63B5">
              <w:rPr>
                <w:color w:val="010000"/>
                <w:szCs w:val="26"/>
              </w:rPr>
              <w:t>Üye</w:t>
            </w:r>
          </w:p>
          <w:p w:rsidR="00AC63B5" w:rsidRPr="00AC63B5" w:rsidRDefault="00AC63B5" w:rsidP="00AC63B5">
            <w:pPr>
              <w:spacing w:before="240" w:after="240"/>
              <w:jc w:val="center"/>
              <w:rPr>
                <w:color w:val="010000"/>
                <w:szCs w:val="26"/>
              </w:rPr>
            </w:pPr>
            <w:r w:rsidRPr="00AC63B5">
              <w:rPr>
                <w:color w:val="010000"/>
                <w:szCs w:val="26"/>
              </w:rPr>
              <w:t>M. Emin KUZ</w:t>
            </w:r>
          </w:p>
        </w:tc>
      </w:tr>
      <w:tr w:rsidR="00AC63B5" w:rsidRPr="00AC63B5" w:rsidTr="00AC63B5">
        <w:trPr>
          <w:jc w:val="center"/>
        </w:trPr>
        <w:tc>
          <w:tcPr>
            <w:tcW w:w="1666" w:type="pct"/>
            <w:hideMark/>
          </w:tcPr>
          <w:p w:rsidR="00AC63B5" w:rsidRPr="00AC63B5" w:rsidRDefault="00AC63B5" w:rsidP="00AC63B5">
            <w:pPr>
              <w:overflowPunct w:val="0"/>
              <w:autoSpaceDE w:val="0"/>
              <w:autoSpaceDN w:val="0"/>
              <w:adjustRightInd w:val="0"/>
              <w:spacing w:before="240" w:after="240"/>
              <w:jc w:val="center"/>
              <w:rPr>
                <w:color w:val="010000"/>
                <w:szCs w:val="26"/>
              </w:rPr>
            </w:pPr>
            <w:r w:rsidRPr="00AC63B5">
              <w:rPr>
                <w:color w:val="010000"/>
                <w:szCs w:val="26"/>
              </w:rPr>
              <w:t>Üye</w:t>
            </w:r>
          </w:p>
          <w:p w:rsidR="00AC63B5" w:rsidRPr="00AC63B5" w:rsidRDefault="00AC63B5" w:rsidP="00AC63B5">
            <w:pPr>
              <w:spacing w:before="240" w:after="240"/>
              <w:jc w:val="center"/>
              <w:rPr>
                <w:color w:val="010000"/>
                <w:szCs w:val="26"/>
              </w:rPr>
            </w:pPr>
            <w:r w:rsidRPr="00AC63B5">
              <w:rPr>
                <w:color w:val="010000"/>
                <w:szCs w:val="26"/>
              </w:rPr>
              <w:t>Hasan Tahsin GÖKCAN</w:t>
            </w:r>
          </w:p>
        </w:tc>
        <w:tc>
          <w:tcPr>
            <w:tcW w:w="1666" w:type="pct"/>
            <w:gridSpan w:val="2"/>
            <w:hideMark/>
          </w:tcPr>
          <w:p w:rsidR="00AC63B5" w:rsidRPr="00AC63B5" w:rsidRDefault="00AC63B5" w:rsidP="00AC63B5">
            <w:pPr>
              <w:overflowPunct w:val="0"/>
              <w:autoSpaceDE w:val="0"/>
              <w:autoSpaceDN w:val="0"/>
              <w:adjustRightInd w:val="0"/>
              <w:spacing w:before="240" w:after="240"/>
              <w:jc w:val="center"/>
              <w:rPr>
                <w:color w:val="010000"/>
                <w:szCs w:val="26"/>
              </w:rPr>
            </w:pPr>
            <w:r w:rsidRPr="00AC63B5">
              <w:rPr>
                <w:color w:val="010000"/>
                <w:szCs w:val="26"/>
              </w:rPr>
              <w:t>Üye</w:t>
            </w:r>
          </w:p>
          <w:p w:rsidR="00AC63B5" w:rsidRPr="00AC63B5" w:rsidRDefault="00AC63B5" w:rsidP="00AC63B5">
            <w:pPr>
              <w:spacing w:before="240" w:after="240"/>
              <w:jc w:val="center"/>
              <w:rPr>
                <w:color w:val="010000"/>
                <w:szCs w:val="26"/>
              </w:rPr>
            </w:pPr>
            <w:r w:rsidRPr="00AC63B5">
              <w:rPr>
                <w:color w:val="010000"/>
                <w:szCs w:val="26"/>
              </w:rPr>
              <w:t>Kadir ÖZKAYA</w:t>
            </w:r>
          </w:p>
        </w:tc>
        <w:tc>
          <w:tcPr>
            <w:tcW w:w="1668" w:type="pct"/>
            <w:hideMark/>
          </w:tcPr>
          <w:p w:rsidR="00AC63B5" w:rsidRPr="00AC63B5" w:rsidRDefault="00AC63B5" w:rsidP="00AC63B5">
            <w:pPr>
              <w:overflowPunct w:val="0"/>
              <w:autoSpaceDE w:val="0"/>
              <w:autoSpaceDN w:val="0"/>
              <w:adjustRightInd w:val="0"/>
              <w:spacing w:before="240" w:after="240"/>
              <w:jc w:val="center"/>
              <w:rPr>
                <w:color w:val="010000"/>
                <w:szCs w:val="26"/>
              </w:rPr>
            </w:pPr>
            <w:r w:rsidRPr="00AC63B5">
              <w:rPr>
                <w:color w:val="010000"/>
                <w:szCs w:val="26"/>
              </w:rPr>
              <w:t>Üye</w:t>
            </w:r>
          </w:p>
          <w:p w:rsidR="00AC63B5" w:rsidRPr="00AC63B5" w:rsidRDefault="00AC63B5" w:rsidP="00AC63B5">
            <w:pPr>
              <w:spacing w:before="240" w:after="240"/>
              <w:jc w:val="center"/>
              <w:rPr>
                <w:color w:val="010000"/>
                <w:szCs w:val="26"/>
              </w:rPr>
            </w:pPr>
            <w:r w:rsidRPr="00AC63B5">
              <w:rPr>
                <w:color w:val="010000"/>
                <w:szCs w:val="26"/>
              </w:rPr>
              <w:t>Rıdvan GÜLEÇ</w:t>
            </w:r>
          </w:p>
        </w:tc>
      </w:tr>
      <w:tr w:rsidR="00AC63B5" w:rsidRPr="00AC63B5" w:rsidTr="00AC63B5">
        <w:trPr>
          <w:jc w:val="center"/>
        </w:trPr>
        <w:tc>
          <w:tcPr>
            <w:tcW w:w="2500" w:type="pct"/>
            <w:gridSpan w:val="2"/>
            <w:hideMark/>
          </w:tcPr>
          <w:p w:rsidR="00AC63B5" w:rsidRPr="00AC63B5" w:rsidRDefault="00AC63B5" w:rsidP="00AC63B5">
            <w:pPr>
              <w:overflowPunct w:val="0"/>
              <w:autoSpaceDE w:val="0"/>
              <w:autoSpaceDN w:val="0"/>
              <w:adjustRightInd w:val="0"/>
              <w:spacing w:before="240" w:after="240"/>
              <w:jc w:val="center"/>
              <w:rPr>
                <w:color w:val="010000"/>
                <w:szCs w:val="26"/>
              </w:rPr>
            </w:pPr>
            <w:bookmarkStart w:id="0" w:name="_GoBack"/>
            <w:bookmarkEnd w:id="0"/>
            <w:r w:rsidRPr="00AC63B5">
              <w:rPr>
                <w:color w:val="010000"/>
                <w:szCs w:val="26"/>
              </w:rPr>
              <w:t>Üye</w:t>
            </w:r>
          </w:p>
          <w:p w:rsidR="00AC63B5" w:rsidRPr="00AC63B5" w:rsidRDefault="00AC63B5" w:rsidP="00AC63B5">
            <w:pPr>
              <w:overflowPunct w:val="0"/>
              <w:autoSpaceDE w:val="0"/>
              <w:autoSpaceDN w:val="0"/>
              <w:adjustRightInd w:val="0"/>
              <w:spacing w:before="240" w:after="240"/>
              <w:jc w:val="center"/>
              <w:rPr>
                <w:color w:val="010000"/>
                <w:szCs w:val="26"/>
              </w:rPr>
            </w:pPr>
            <w:r w:rsidRPr="00AC63B5">
              <w:rPr>
                <w:bCs/>
                <w:color w:val="010000"/>
                <w:szCs w:val="26"/>
              </w:rPr>
              <w:t>Recai AKYEL</w:t>
            </w:r>
          </w:p>
        </w:tc>
        <w:tc>
          <w:tcPr>
            <w:tcW w:w="2500" w:type="pct"/>
            <w:gridSpan w:val="2"/>
            <w:hideMark/>
          </w:tcPr>
          <w:p w:rsidR="00AC63B5" w:rsidRPr="00AC63B5" w:rsidRDefault="00AC63B5" w:rsidP="00AC63B5">
            <w:pPr>
              <w:overflowPunct w:val="0"/>
              <w:autoSpaceDE w:val="0"/>
              <w:autoSpaceDN w:val="0"/>
              <w:adjustRightInd w:val="0"/>
              <w:spacing w:before="240" w:after="240"/>
              <w:jc w:val="center"/>
              <w:rPr>
                <w:color w:val="010000"/>
                <w:szCs w:val="26"/>
              </w:rPr>
            </w:pPr>
            <w:r w:rsidRPr="00AC63B5">
              <w:rPr>
                <w:color w:val="010000"/>
                <w:szCs w:val="26"/>
              </w:rPr>
              <w:t>Üye</w:t>
            </w:r>
          </w:p>
          <w:p w:rsidR="00AC63B5" w:rsidRPr="00AC63B5" w:rsidRDefault="00AC63B5" w:rsidP="00AC63B5">
            <w:pPr>
              <w:overflowPunct w:val="0"/>
              <w:autoSpaceDE w:val="0"/>
              <w:autoSpaceDN w:val="0"/>
              <w:adjustRightInd w:val="0"/>
              <w:spacing w:before="240" w:after="240"/>
              <w:jc w:val="center"/>
              <w:rPr>
                <w:color w:val="010000"/>
                <w:szCs w:val="26"/>
              </w:rPr>
            </w:pPr>
            <w:r w:rsidRPr="00AC63B5">
              <w:rPr>
                <w:bCs/>
                <w:color w:val="010000"/>
                <w:szCs w:val="26"/>
              </w:rPr>
              <w:t>Yusuf Şevki HAKYEMEZ</w:t>
            </w:r>
          </w:p>
        </w:tc>
      </w:tr>
    </w:tbl>
    <w:p w:rsidR="00AC63B5" w:rsidRPr="00AC63B5" w:rsidRDefault="00AC63B5" w:rsidP="00AC63B5">
      <w:pPr>
        <w:spacing w:after="200"/>
        <w:ind w:right="283" w:firstLine="709"/>
        <w:jc w:val="both"/>
        <w:rPr>
          <w:color w:val="010000"/>
          <w:szCs w:val="26"/>
        </w:rPr>
      </w:pPr>
    </w:p>
    <w:sectPr w:rsidR="00AC63B5" w:rsidRPr="00AC63B5" w:rsidSect="00AC63B5">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F426F" w:rsidRDefault="00FF426F" w:rsidP="00AC63B5">
      <w:r>
        <w:separator/>
      </w:r>
    </w:p>
  </w:endnote>
  <w:endnote w:type="continuationSeparator" w:id="0">
    <w:p w:rsidR="00FF426F" w:rsidRDefault="00FF426F" w:rsidP="00AC63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C63B5" w:rsidRDefault="00AC63B5" w:rsidP="00CA3CD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AC63B5" w:rsidRDefault="00AC63B5" w:rsidP="00AC63B5">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C63B5" w:rsidRPr="00AC63B5" w:rsidRDefault="00AC63B5" w:rsidP="00CA3CD2">
    <w:pPr>
      <w:pStyle w:val="AltBilgi"/>
      <w:framePr w:wrap="around" w:vAnchor="text" w:hAnchor="margin" w:xAlign="right" w:y="1"/>
      <w:rPr>
        <w:rStyle w:val="SayfaNumaras"/>
      </w:rPr>
    </w:pPr>
    <w:r w:rsidRPr="00AC63B5">
      <w:rPr>
        <w:rStyle w:val="SayfaNumaras"/>
      </w:rPr>
      <w:fldChar w:fldCharType="begin"/>
    </w:r>
    <w:r w:rsidRPr="00AC63B5">
      <w:rPr>
        <w:rStyle w:val="SayfaNumaras"/>
      </w:rPr>
      <w:instrText xml:space="preserve"> PAGE </w:instrText>
    </w:r>
    <w:r w:rsidRPr="00AC63B5">
      <w:rPr>
        <w:rStyle w:val="SayfaNumaras"/>
      </w:rPr>
      <w:fldChar w:fldCharType="separate"/>
    </w:r>
    <w:r w:rsidRPr="00AC63B5">
      <w:rPr>
        <w:rStyle w:val="SayfaNumaras"/>
        <w:noProof/>
      </w:rPr>
      <w:t>1</w:t>
    </w:r>
    <w:r w:rsidRPr="00AC63B5">
      <w:rPr>
        <w:rStyle w:val="SayfaNumaras"/>
      </w:rPr>
      <w:fldChar w:fldCharType="end"/>
    </w:r>
  </w:p>
  <w:p w:rsidR="00374F00" w:rsidRDefault="00FF426F" w:rsidP="00AC63B5">
    <w:pPr>
      <w:pStyle w:val="a"/>
      <w:ind w:right="360"/>
      <w:jc w:val="center"/>
    </w:pPr>
  </w:p>
  <w:p w:rsidR="00374F00" w:rsidRDefault="00FF426F">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F426F" w:rsidRDefault="00FF426F" w:rsidP="00AC63B5">
      <w:r>
        <w:separator/>
      </w:r>
    </w:p>
  </w:footnote>
  <w:footnote w:type="continuationSeparator" w:id="0">
    <w:p w:rsidR="00FF426F" w:rsidRDefault="00FF426F" w:rsidP="00AC63B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C63B5" w:rsidRPr="00AC63B5" w:rsidRDefault="00AC63B5" w:rsidP="00AC63B5">
    <w:pPr>
      <w:pStyle w:val="stBilgi"/>
      <w:rPr>
        <w:b/>
      </w:rPr>
    </w:pPr>
    <w:r w:rsidRPr="00AC63B5">
      <w:rPr>
        <w:b/>
      </w:rPr>
      <w:t>Esas Sayısı:2015/21 (Siyasi Parti Mali Denetimi)</w:t>
    </w:r>
  </w:p>
  <w:p w:rsidR="00AC63B5" w:rsidRDefault="00AC63B5" w:rsidP="00AC63B5">
    <w:pPr>
      <w:pStyle w:val="stBilgi"/>
      <w:rPr>
        <w:b/>
      </w:rPr>
    </w:pPr>
    <w:r>
      <w:rPr>
        <w:b/>
      </w:rPr>
      <w:t>Karar Sayısı:2018/11</w:t>
    </w:r>
  </w:p>
  <w:p w:rsidR="00374F00" w:rsidRPr="00AC63B5" w:rsidRDefault="00FF426F" w:rsidP="00AC63B5">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63B5"/>
    <w:rsid w:val="00AC63B5"/>
    <w:rsid w:val="00D12EB3"/>
    <w:rsid w:val="00FF426F"/>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92A7A1F-3794-4101-BC93-C19BE4D8B8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C63B5"/>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AC63B5"/>
    <w:pPr>
      <w:tabs>
        <w:tab w:val="center" w:pos="4536"/>
        <w:tab w:val="right" w:pos="9072"/>
      </w:tabs>
    </w:pPr>
  </w:style>
  <w:style w:type="character" w:customStyle="1" w:styleId="AltbilgiChar">
    <w:name w:val="Altbilgi Char"/>
    <w:link w:val="a"/>
    <w:uiPriority w:val="99"/>
    <w:rsid w:val="00AC63B5"/>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AC63B5"/>
    <w:pPr>
      <w:tabs>
        <w:tab w:val="center" w:pos="4536"/>
        <w:tab w:val="right" w:pos="9072"/>
      </w:tabs>
    </w:pPr>
  </w:style>
  <w:style w:type="character" w:customStyle="1" w:styleId="AltBilgiChar0">
    <w:name w:val="Alt Bilgi Char"/>
    <w:basedOn w:val="VarsaylanParagrafYazTipi"/>
    <w:link w:val="AltBilgi"/>
    <w:uiPriority w:val="99"/>
    <w:rsid w:val="00AC63B5"/>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AC63B5"/>
    <w:pPr>
      <w:tabs>
        <w:tab w:val="center" w:pos="4536"/>
        <w:tab w:val="right" w:pos="9072"/>
      </w:tabs>
    </w:pPr>
  </w:style>
  <w:style w:type="character" w:customStyle="1" w:styleId="stBilgiChar">
    <w:name w:val="Üst Bilgi Char"/>
    <w:basedOn w:val="VarsaylanParagrafYazTipi"/>
    <w:link w:val="stBilgi"/>
    <w:uiPriority w:val="99"/>
    <w:rsid w:val="00AC63B5"/>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AC63B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1217</Words>
  <Characters>6937</Characters>
  <Application>Microsoft Office Word</Application>
  <DocSecurity>0</DocSecurity>
  <Lines>57</Lines>
  <Paragraphs>16</Paragraphs>
  <ScaleCrop>false</ScaleCrop>
  <Company/>
  <LinksUpToDate>false</LinksUpToDate>
  <CharactersWithSpaces>8138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2020-06-17T07:50:00Z</dcterms:created>
  <dcterms:modified xsi:type="dcterms:W3CDTF">2020-06-17T07:52:00Z</dcterms:modified>
</cp:coreProperties>
</file>