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25D" w:rsidRDefault="00F0225D" w:rsidP="00F0225D">
      <w:pPr>
        <w:spacing w:after="200"/>
        <w:ind w:right="283"/>
        <w:jc w:val="center"/>
        <w:rPr>
          <w:b/>
          <w:bCs/>
          <w:caps/>
          <w:color w:val="010000"/>
          <w:szCs w:val="30"/>
        </w:rPr>
      </w:pPr>
      <w:r w:rsidRPr="00F0225D">
        <w:rPr>
          <w:b/>
          <w:bCs/>
          <w:caps/>
          <w:color w:val="010000"/>
          <w:szCs w:val="19"/>
        </w:rPr>
        <w:t xml:space="preserve"> </w:t>
      </w:r>
      <w:r w:rsidRPr="00F0225D">
        <w:rPr>
          <w:b/>
          <w:bCs/>
          <w:caps/>
          <w:color w:val="010000"/>
          <w:szCs w:val="30"/>
        </w:rPr>
        <w:t>ANAYASA MAHKEMESİ KARARI</w:t>
      </w:r>
    </w:p>
    <w:p w:rsidR="00F0225D" w:rsidRPr="00F0225D" w:rsidRDefault="00F0225D" w:rsidP="00F0225D">
      <w:pPr>
        <w:spacing w:after="200"/>
        <w:ind w:right="283" w:firstLine="709"/>
        <w:jc w:val="center"/>
        <w:rPr>
          <w:b/>
          <w:bCs/>
          <w:caps/>
          <w:color w:val="010000"/>
          <w:szCs w:val="30"/>
        </w:rPr>
      </w:pPr>
    </w:p>
    <w:p w:rsidR="00F0225D" w:rsidRDefault="00F0225D" w:rsidP="00F0225D">
      <w:pPr>
        <w:rPr>
          <w:b/>
          <w:bCs/>
          <w:color w:val="010000"/>
          <w:szCs w:val="22"/>
        </w:rPr>
      </w:pPr>
      <w:r>
        <w:rPr>
          <w:b/>
          <w:bCs/>
          <w:color w:val="010000"/>
          <w:szCs w:val="22"/>
        </w:rPr>
        <w:t>Esas Sayısı:2016/15 (Siyasi Parti Mali Denetimi)</w:t>
      </w:r>
    </w:p>
    <w:p w:rsidR="00F0225D" w:rsidRDefault="00F0225D" w:rsidP="00F0225D">
      <w:pPr>
        <w:rPr>
          <w:b/>
          <w:color w:val="010000"/>
          <w:szCs w:val="22"/>
          <w:shd w:val="clear" w:color="auto" w:fill="FFFFFF"/>
        </w:rPr>
      </w:pPr>
      <w:r>
        <w:rPr>
          <w:b/>
          <w:color w:val="010000"/>
          <w:szCs w:val="22"/>
          <w:shd w:val="clear" w:color="auto" w:fill="FFFFFF"/>
        </w:rPr>
        <w:t>Karar Sayısı:2017/7</w:t>
      </w:r>
    </w:p>
    <w:p w:rsidR="00F0225D" w:rsidRDefault="00F0225D" w:rsidP="00F0225D">
      <w:pPr>
        <w:rPr>
          <w:b/>
          <w:color w:val="010000"/>
          <w:szCs w:val="22"/>
          <w:shd w:val="clear" w:color="auto" w:fill="FFFFFF"/>
        </w:rPr>
      </w:pPr>
      <w:r>
        <w:rPr>
          <w:b/>
          <w:color w:val="010000"/>
          <w:szCs w:val="22"/>
          <w:shd w:val="clear" w:color="auto" w:fill="FFFFFF"/>
        </w:rPr>
        <w:t>Karar Tarihi:31.5.2017</w:t>
      </w:r>
    </w:p>
    <w:p w:rsidR="00F0225D" w:rsidRDefault="00F0225D" w:rsidP="00F0225D">
      <w:pPr>
        <w:rPr>
          <w:b/>
          <w:color w:val="010000"/>
          <w:szCs w:val="22"/>
          <w:shd w:val="clear" w:color="auto" w:fill="FFFFFF"/>
        </w:rPr>
      </w:pPr>
      <w:proofErr w:type="spellStart"/>
      <w:r>
        <w:rPr>
          <w:b/>
          <w:color w:val="010000"/>
          <w:szCs w:val="22"/>
          <w:shd w:val="clear" w:color="auto" w:fill="FFFFFF"/>
        </w:rPr>
        <w:t>R.</w:t>
      </w:r>
      <w:proofErr w:type="gramStart"/>
      <w:r>
        <w:rPr>
          <w:b/>
          <w:color w:val="010000"/>
          <w:szCs w:val="22"/>
          <w:shd w:val="clear" w:color="auto" w:fill="FFFFFF"/>
        </w:rPr>
        <w:t>G.Tarih</w:t>
      </w:r>
      <w:proofErr w:type="spellEnd"/>
      <w:proofErr w:type="gramEnd"/>
      <w:r>
        <w:rPr>
          <w:b/>
          <w:color w:val="010000"/>
          <w:szCs w:val="22"/>
          <w:shd w:val="clear" w:color="auto" w:fill="FFFFFF"/>
        </w:rPr>
        <w:t>- Sayısı:20.7.2017-30129</w:t>
      </w:r>
    </w:p>
    <w:p w:rsidR="00F0225D" w:rsidRPr="00F0225D" w:rsidRDefault="00F0225D" w:rsidP="00F0225D">
      <w:pPr>
        <w:rPr>
          <w:b/>
          <w:color w:val="010000"/>
          <w:szCs w:val="22"/>
          <w:shd w:val="clear" w:color="auto" w:fill="FFFFFF"/>
        </w:rPr>
      </w:pPr>
    </w:p>
    <w:p w:rsidR="00F0225D" w:rsidRPr="00F0225D" w:rsidRDefault="00F0225D" w:rsidP="00F0225D">
      <w:pPr>
        <w:overflowPunct w:val="0"/>
        <w:spacing w:after="200"/>
        <w:ind w:right="283" w:firstLine="709"/>
        <w:jc w:val="both"/>
        <w:rPr>
          <w:b/>
          <w:color w:val="010000"/>
          <w:szCs w:val="22"/>
        </w:rPr>
      </w:pPr>
      <w:r w:rsidRPr="00F0225D">
        <w:rPr>
          <w:b/>
          <w:color w:val="010000"/>
          <w:szCs w:val="22"/>
        </w:rPr>
        <w:t xml:space="preserve">I- MALİ DENETİMİN KONUSU </w:t>
      </w:r>
    </w:p>
    <w:p w:rsidR="00F0225D" w:rsidRPr="00F0225D" w:rsidRDefault="00F0225D" w:rsidP="00F0225D">
      <w:pPr>
        <w:overflowPunct w:val="0"/>
        <w:spacing w:after="200"/>
        <w:ind w:right="283" w:firstLine="709"/>
        <w:jc w:val="both"/>
        <w:rPr>
          <w:color w:val="010000"/>
          <w:szCs w:val="19"/>
        </w:rPr>
      </w:pPr>
      <w:r w:rsidRPr="00F0225D">
        <w:rPr>
          <w:color w:val="010000"/>
          <w:szCs w:val="19"/>
        </w:rPr>
        <w:t>Kadın Partisi 2015 yılı kesin hesabının incelenmesidir.</w:t>
      </w:r>
    </w:p>
    <w:p w:rsidR="00F0225D" w:rsidRPr="00F0225D" w:rsidRDefault="00F0225D" w:rsidP="00F0225D">
      <w:pPr>
        <w:overflowPunct w:val="0"/>
        <w:spacing w:after="200"/>
        <w:ind w:right="283" w:firstLine="709"/>
        <w:jc w:val="both"/>
        <w:rPr>
          <w:b/>
          <w:color w:val="010000"/>
          <w:szCs w:val="22"/>
        </w:rPr>
      </w:pPr>
      <w:r w:rsidRPr="00F0225D">
        <w:rPr>
          <w:b/>
          <w:color w:val="010000"/>
          <w:szCs w:val="22"/>
        </w:rPr>
        <w:t>II- İLK İNCELEME</w:t>
      </w:r>
    </w:p>
    <w:p w:rsidR="00F0225D" w:rsidRPr="00F0225D" w:rsidRDefault="00F0225D" w:rsidP="00F0225D">
      <w:pPr>
        <w:spacing w:after="200"/>
        <w:ind w:right="283" w:firstLine="709"/>
        <w:jc w:val="both"/>
        <w:rPr>
          <w:color w:val="010000"/>
          <w:szCs w:val="19"/>
        </w:rPr>
      </w:pPr>
      <w:r w:rsidRPr="00F0225D">
        <w:rPr>
          <w:color w:val="010000"/>
          <w:szCs w:val="19"/>
        </w:rPr>
        <w:t>1. Kadın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F0225D" w:rsidRPr="00F0225D" w:rsidRDefault="00F0225D" w:rsidP="00F0225D">
      <w:pPr>
        <w:spacing w:after="200"/>
        <w:ind w:right="283" w:firstLine="709"/>
        <w:jc w:val="both"/>
        <w:rPr>
          <w:color w:val="010000"/>
          <w:szCs w:val="19"/>
        </w:rPr>
      </w:pPr>
      <w:r w:rsidRPr="00F0225D">
        <w:rPr>
          <w:color w:val="010000"/>
          <w:szCs w:val="19"/>
        </w:rPr>
        <w:t xml:space="preserve">2. Parti Genel Başkanı Fatma </w:t>
      </w:r>
      <w:proofErr w:type="spellStart"/>
      <w:r w:rsidRPr="00F0225D">
        <w:rPr>
          <w:color w:val="010000"/>
          <w:szCs w:val="19"/>
        </w:rPr>
        <w:t>Benal</w:t>
      </w:r>
      <w:proofErr w:type="spellEnd"/>
      <w:r w:rsidRPr="00F0225D">
        <w:rPr>
          <w:color w:val="010000"/>
          <w:szCs w:val="19"/>
        </w:rPr>
        <w:t xml:space="preserve"> YAZGAN tarafından sunulan kesin hesap dosyasında, sadece 2015 yılında Parti hesabının Anayasa Mahkemesi Başkanlığına sunulduğuna dair genel başkan imzalı yazı ile Genel Merkez kesin hesabı gönderilmiş, buna mukabil il örgütünün kesin hesabı, Parti Merkez Karar ve Yönetim Kurulu tarafından alınmış olması gereken Parti Genel Merkezi ve il örgütünün kesin hesaplarının incelenip kabul edildiğine ve birleştirildiğine ilişkin karar, edinilen taşınmaz ve değeri 100 TL’yi aşan taşınır malların, menkul kıymetlerin ve her türlü hakların değerleri ile edinim tarihlerini ve şekillerini de belirten listeler ile</w:t>
      </w:r>
      <w:r w:rsidRPr="00F0225D">
        <w:rPr>
          <w:color w:val="010000"/>
          <w:szCs w:val="19"/>
        </w:rPr>
        <w:t xml:space="preserve"> </w:t>
      </w:r>
      <w:r w:rsidRPr="00F0225D">
        <w:rPr>
          <w:color w:val="010000"/>
          <w:szCs w:val="19"/>
        </w:rPr>
        <w:t>kasa ve banka mutabakat</w:t>
      </w:r>
      <w:r w:rsidRPr="00F0225D">
        <w:rPr>
          <w:color w:val="010000"/>
          <w:szCs w:val="19"/>
        </w:rPr>
        <w:t xml:space="preserve"> </w:t>
      </w:r>
      <w:r w:rsidRPr="00F0225D">
        <w:rPr>
          <w:color w:val="010000"/>
          <w:szCs w:val="19"/>
        </w:rPr>
        <w:t>yazıları ise gönderilmemiştir.</w:t>
      </w:r>
    </w:p>
    <w:p w:rsidR="00F0225D" w:rsidRPr="00F0225D" w:rsidRDefault="00F0225D" w:rsidP="00F0225D">
      <w:pPr>
        <w:spacing w:after="200"/>
        <w:ind w:right="283" w:firstLine="709"/>
        <w:jc w:val="both"/>
        <w:rPr>
          <w:i/>
          <w:color w:val="010000"/>
          <w:szCs w:val="19"/>
        </w:rPr>
      </w:pPr>
      <w:r w:rsidRPr="00F0225D">
        <w:rPr>
          <w:color w:val="010000"/>
          <w:szCs w:val="19"/>
        </w:rPr>
        <w:t xml:space="preserve">3. 2820 sayılı Kanun’un 74. maddesinde, </w:t>
      </w:r>
      <w:r w:rsidRPr="00F0225D">
        <w:rPr>
          <w:i/>
          <w:color w:val="010000"/>
          <w:szCs w:val="19"/>
        </w:rPr>
        <w:t>“Siyasi partilerin mali denetimi Anayasa Mahkemesince yapılır. Anayasa Mahkemesi, siyasi partilerin mal edinimleri ile gelir ve giderlerinin Kanuni uygunluğunu denetler.</w:t>
      </w:r>
    </w:p>
    <w:p w:rsidR="00F0225D" w:rsidRPr="00F0225D" w:rsidRDefault="00F0225D" w:rsidP="00F0225D">
      <w:pPr>
        <w:spacing w:after="200"/>
        <w:ind w:right="283" w:firstLine="709"/>
        <w:jc w:val="both"/>
        <w:rPr>
          <w:i/>
          <w:color w:val="010000"/>
          <w:szCs w:val="19"/>
        </w:rPr>
      </w:pPr>
      <w:r w:rsidRPr="00F0225D">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F0225D">
        <w:rPr>
          <w:i/>
          <w:color w:val="010000"/>
          <w:szCs w:val="19"/>
        </w:rPr>
        <w:t>Haziran</w:t>
      </w:r>
      <w:proofErr w:type="gramEnd"/>
      <w:r w:rsidRPr="00F0225D">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F0225D" w:rsidRPr="00F0225D" w:rsidRDefault="00F0225D" w:rsidP="00F0225D">
      <w:pPr>
        <w:spacing w:after="200"/>
        <w:ind w:right="283" w:firstLine="709"/>
        <w:jc w:val="both"/>
        <w:rPr>
          <w:i/>
          <w:color w:val="010000"/>
          <w:szCs w:val="19"/>
        </w:rPr>
      </w:pPr>
      <w:r w:rsidRPr="00F0225D">
        <w:rPr>
          <w:color w:val="010000"/>
          <w:szCs w:val="19"/>
        </w:rPr>
        <w:t>4. 111. maddesinin birinci fıkrasının (b) bendinde ise Siyasi partilerin</w:t>
      </w:r>
      <w:r w:rsidRPr="00F0225D">
        <w:rPr>
          <w:i/>
          <w:color w:val="010000"/>
          <w:szCs w:val="19"/>
        </w:rPr>
        <w:t xml:space="preserve"> “</w:t>
      </w:r>
      <w:proofErr w:type="gramStart"/>
      <w:r w:rsidRPr="00F0225D">
        <w:rPr>
          <w:i/>
          <w:color w:val="010000"/>
          <w:szCs w:val="19"/>
        </w:rPr>
        <w:t>74 üncü</w:t>
      </w:r>
      <w:proofErr w:type="gramEnd"/>
      <w:r w:rsidRPr="00F0225D">
        <w:rPr>
          <w:i/>
          <w:color w:val="010000"/>
          <w:szCs w:val="19"/>
        </w:rPr>
        <w:t xml:space="preserve"> madde hükümlerine aykırı hareket eden sorumluları hakkında, üç aydan altı aya kadar hafif hapis ve on beş milyon liradan otuz milyon liraya kadar hafif para cezası verilir.”</w:t>
      </w:r>
    </w:p>
    <w:p w:rsidR="00F0225D" w:rsidRPr="00F0225D" w:rsidRDefault="00F0225D" w:rsidP="00F0225D">
      <w:pPr>
        <w:spacing w:after="200"/>
        <w:ind w:right="283" w:firstLine="709"/>
        <w:jc w:val="both"/>
        <w:rPr>
          <w:color w:val="010000"/>
          <w:szCs w:val="19"/>
        </w:rPr>
      </w:pPr>
      <w:proofErr w:type="gramStart"/>
      <w:r w:rsidRPr="00F0225D">
        <w:rPr>
          <w:color w:val="010000"/>
          <w:szCs w:val="19"/>
        </w:rPr>
        <w:t>hükümleri</w:t>
      </w:r>
      <w:proofErr w:type="gramEnd"/>
      <w:r w:rsidRPr="00F0225D">
        <w:rPr>
          <w:color w:val="010000"/>
          <w:szCs w:val="19"/>
        </w:rPr>
        <w:t xml:space="preserve"> yer almıştır. </w:t>
      </w:r>
    </w:p>
    <w:p w:rsidR="00F0225D" w:rsidRPr="00F0225D" w:rsidRDefault="00F0225D" w:rsidP="00F0225D">
      <w:pPr>
        <w:overflowPunct w:val="0"/>
        <w:spacing w:after="200"/>
        <w:ind w:right="283" w:firstLine="709"/>
        <w:jc w:val="both"/>
        <w:rPr>
          <w:color w:val="010000"/>
          <w:szCs w:val="19"/>
        </w:rPr>
      </w:pPr>
      <w:r w:rsidRPr="00F0225D">
        <w:rPr>
          <w:color w:val="010000"/>
          <w:szCs w:val="19"/>
        </w:rPr>
        <w:t xml:space="preserve">5. İl örgütünün kesin hesabı, Parti Merkez Karar ve Yönetim Kurulu tarafından alınmış Parti Genel Merkezi ve il örgütünün kesin hesaplarının incelenip kabul edildiğine ve birleştirildiğine ilişkin kararı, edinilen taşınmaz ve değeri 100 TL’yi aşan taşınır malların, menkul kıymetlerin ve her türlü hakların değerleri ile edinim tarihlerini ve şekillerini de belirten listeleri göndermeyen Parti </w:t>
      </w:r>
      <w:r w:rsidRPr="00F0225D">
        <w:rPr>
          <w:color w:val="010000"/>
          <w:szCs w:val="19"/>
        </w:rPr>
        <w:lastRenderedPageBreak/>
        <w:t>yetkilileri hakkında 2820 sayılı Kanun’un 111. maddesinin (b) fıkrasına istinaden gerekli işlemlerin yapılması için Ankara Cumhuriyet Başsavcılığına suç duyurusunda bulunulması gerekir.</w:t>
      </w:r>
    </w:p>
    <w:p w:rsidR="00F0225D" w:rsidRPr="00F0225D" w:rsidRDefault="00F0225D" w:rsidP="00F0225D">
      <w:pPr>
        <w:overflowPunct w:val="0"/>
        <w:spacing w:after="200"/>
        <w:ind w:right="283" w:firstLine="709"/>
        <w:jc w:val="both"/>
        <w:rPr>
          <w:color w:val="010000"/>
          <w:szCs w:val="19"/>
        </w:rPr>
      </w:pPr>
      <w:r w:rsidRPr="00F0225D">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F0225D" w:rsidRPr="00F0225D" w:rsidRDefault="00F0225D" w:rsidP="00F0225D">
      <w:pPr>
        <w:overflowPunct w:val="0"/>
        <w:spacing w:after="200"/>
        <w:ind w:right="283" w:firstLine="709"/>
        <w:jc w:val="both"/>
        <w:rPr>
          <w:color w:val="010000"/>
          <w:szCs w:val="19"/>
        </w:rPr>
      </w:pPr>
      <w:r w:rsidRPr="00F0225D">
        <w:rPr>
          <w:color w:val="010000"/>
          <w:szCs w:val="19"/>
        </w:rPr>
        <w:t>7. Diğer taraftan Parti Genel Merkez ve il örgütlerine ait kesin hesabının denetimi gerçekleştirilemediğinden, Partinin 2015 yılı hesabının 2820 sayılı Kanun uyarınca kabul edilmesinin mümkün olmadığına karar vermek gerekmiştir.</w:t>
      </w:r>
    </w:p>
    <w:p w:rsidR="00F0225D" w:rsidRPr="00F0225D" w:rsidRDefault="00F0225D" w:rsidP="00F0225D">
      <w:pPr>
        <w:overflowPunct w:val="0"/>
        <w:spacing w:after="200"/>
        <w:ind w:right="283" w:firstLine="709"/>
        <w:jc w:val="both"/>
        <w:rPr>
          <w:b/>
          <w:color w:val="010000"/>
          <w:szCs w:val="22"/>
        </w:rPr>
      </w:pPr>
      <w:r w:rsidRPr="00F0225D">
        <w:rPr>
          <w:b/>
          <w:color w:val="010000"/>
          <w:szCs w:val="22"/>
        </w:rPr>
        <w:t>III- SONUÇ</w:t>
      </w:r>
    </w:p>
    <w:p w:rsidR="00F0225D" w:rsidRPr="00F0225D" w:rsidRDefault="00F0225D" w:rsidP="00F0225D">
      <w:pPr>
        <w:overflowPunct w:val="0"/>
        <w:spacing w:after="200"/>
        <w:ind w:right="283" w:firstLine="709"/>
        <w:jc w:val="both"/>
        <w:rPr>
          <w:color w:val="010000"/>
          <w:szCs w:val="19"/>
        </w:rPr>
      </w:pPr>
      <w:r w:rsidRPr="00F0225D">
        <w:rPr>
          <w:color w:val="010000"/>
          <w:szCs w:val="19"/>
        </w:rPr>
        <w:t xml:space="preserve">Kadın Partisinin 2015 yılı kesin hesabının incelenmesi sonucunda; </w:t>
      </w:r>
    </w:p>
    <w:p w:rsidR="00F0225D" w:rsidRPr="00F0225D" w:rsidRDefault="00F0225D" w:rsidP="00F0225D">
      <w:pPr>
        <w:spacing w:after="200"/>
        <w:ind w:right="283" w:firstLine="709"/>
        <w:jc w:val="both"/>
        <w:rPr>
          <w:color w:val="010000"/>
          <w:szCs w:val="19"/>
        </w:rPr>
      </w:pPr>
      <w:r w:rsidRPr="00F0225D">
        <w:rPr>
          <w:color w:val="010000"/>
          <w:szCs w:val="19"/>
        </w:rPr>
        <w:t xml:space="preserve">1- İl örgütünün kesin hesabının, Parti Merkez Karar ve Yönetim Kurulu tarafından alınmış Parti Genel Merkezi ve il örgütünün kesin hesaplarının incelenip kabul edildiğine ve birleştirildiğine ilişkin kararın, edinilen taşınmaz ve değeri 100 TL’yi aşan taşınır malların, menkul kıymetlerin ve her türlü hakların değerleri ile edinim tarihlerini ve şekillerini de belirten listelerin gönderilmemesi nedeniyle 2820 sayılı Kanun’un 74. maddesi ve aynı Kanun’un 111. maddesinin birinci fıkrasının (b) bendi uyarınca yasal işlem yapılması için Ankara Cumhuriyet Başsavcılığına suç duyurusunda bulunulmasına, </w:t>
      </w:r>
    </w:p>
    <w:p w:rsidR="00F0225D" w:rsidRPr="00F0225D" w:rsidRDefault="00F0225D" w:rsidP="00F0225D">
      <w:pPr>
        <w:spacing w:after="200"/>
        <w:ind w:right="283" w:firstLine="709"/>
        <w:jc w:val="both"/>
        <w:rPr>
          <w:color w:val="010000"/>
          <w:szCs w:val="19"/>
        </w:rPr>
      </w:pPr>
      <w:r w:rsidRPr="00F0225D">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F0225D">
        <w:rPr>
          <w:color w:val="010000"/>
          <w:szCs w:val="19"/>
        </w:rPr>
        <w:t>yasal</w:t>
      </w:r>
      <w:proofErr w:type="gramEnd"/>
      <w:r w:rsidRPr="00F0225D">
        <w:rPr>
          <w:color w:val="010000"/>
          <w:szCs w:val="19"/>
        </w:rPr>
        <w:t xml:space="preserve"> işlem yapılması için Ankara Cumhuriyet Başsavcılığına suç duyurusunda bulunulmasına, </w:t>
      </w:r>
    </w:p>
    <w:p w:rsidR="00F0225D" w:rsidRPr="00F0225D" w:rsidRDefault="00F0225D" w:rsidP="00F0225D">
      <w:pPr>
        <w:overflowPunct w:val="0"/>
        <w:spacing w:after="200"/>
        <w:ind w:right="283" w:firstLine="709"/>
        <w:jc w:val="both"/>
        <w:rPr>
          <w:color w:val="010000"/>
          <w:szCs w:val="19"/>
        </w:rPr>
      </w:pPr>
      <w:r w:rsidRPr="00F0225D">
        <w:rPr>
          <w:color w:val="010000"/>
          <w:szCs w:val="19"/>
        </w:rPr>
        <w:t>3- Parti Genel Merkez ve il örgütüne ait kesin hesapların denetimi gerçekleştirilemediğinden, Partinin 2015 yılı hesabının 2820 sayılı Kanun uyarınca kabul edilmesinin mümkün olmadığına,</w:t>
      </w:r>
    </w:p>
    <w:p w:rsidR="00F0225D" w:rsidRPr="00F0225D" w:rsidRDefault="00F0225D" w:rsidP="00F0225D">
      <w:pPr>
        <w:overflowPunct w:val="0"/>
        <w:spacing w:after="200"/>
        <w:ind w:right="283" w:firstLine="709"/>
        <w:jc w:val="both"/>
        <w:rPr>
          <w:color w:val="010000"/>
          <w:szCs w:val="19"/>
        </w:rPr>
      </w:pPr>
      <w:r w:rsidRPr="00F0225D">
        <w:rPr>
          <w:color w:val="010000"/>
          <w:szCs w:val="19"/>
        </w:rPr>
        <w:t>31.5.2017 tarihinde OYBİRLİĞİYLE karar verildi.</w:t>
      </w:r>
    </w:p>
    <w:p w:rsidR="00F0225D" w:rsidRDefault="00F0225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678"/>
        <w:gridCol w:w="1385"/>
        <w:gridCol w:w="1776"/>
        <w:gridCol w:w="1385"/>
        <w:gridCol w:w="2173"/>
        <w:gridCol w:w="1383"/>
      </w:tblGrid>
      <w:tr w:rsidR="00F0225D" w:rsidRPr="00F0225D" w:rsidTr="00F0225D">
        <w:trPr>
          <w:jc w:val="center"/>
        </w:trPr>
        <w:tc>
          <w:tcPr>
            <w:tcW w:w="156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Başkan</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Zühtü ARSLAN</w:t>
            </w:r>
          </w:p>
        </w:tc>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Başkanvekili</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Burhan ÜSTÜN</w:t>
            </w:r>
          </w:p>
        </w:tc>
        <w:tc>
          <w:tcPr>
            <w:tcW w:w="1818"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 xml:space="preserve">Üye </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Serdar ÖZGÜLDÜR</w:t>
            </w:r>
          </w:p>
        </w:tc>
      </w:tr>
      <w:tr w:rsidR="00F0225D" w:rsidRPr="00F0225D" w:rsidTr="00F0225D">
        <w:trPr>
          <w:jc w:val="center"/>
        </w:trPr>
        <w:tc>
          <w:tcPr>
            <w:tcW w:w="156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proofErr w:type="spellStart"/>
            <w:r w:rsidRPr="00F0225D">
              <w:rPr>
                <w:color w:val="010000"/>
                <w:szCs w:val="19"/>
              </w:rPr>
              <w:t>Serruh</w:t>
            </w:r>
            <w:proofErr w:type="spellEnd"/>
            <w:r w:rsidRPr="00F0225D">
              <w:rPr>
                <w:color w:val="010000"/>
                <w:szCs w:val="19"/>
              </w:rPr>
              <w:t xml:space="preserve"> KALELİ</w:t>
            </w:r>
          </w:p>
        </w:tc>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 xml:space="preserve">Osman </w:t>
            </w:r>
            <w:proofErr w:type="spellStart"/>
            <w:r w:rsidRPr="00F0225D">
              <w:rPr>
                <w:color w:val="010000"/>
                <w:szCs w:val="19"/>
              </w:rPr>
              <w:t>Alifeyyaz</w:t>
            </w:r>
            <w:proofErr w:type="spellEnd"/>
            <w:r w:rsidRPr="00F0225D">
              <w:rPr>
                <w:color w:val="010000"/>
                <w:szCs w:val="19"/>
              </w:rPr>
              <w:t xml:space="preserve"> PAKSÜT</w:t>
            </w:r>
          </w:p>
        </w:tc>
        <w:tc>
          <w:tcPr>
            <w:tcW w:w="1818"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 xml:space="preserve"> Recep KÖMÜRCÜ</w:t>
            </w:r>
          </w:p>
        </w:tc>
      </w:tr>
      <w:tr w:rsidR="00F0225D" w:rsidRPr="00F0225D" w:rsidTr="00F0225D">
        <w:trPr>
          <w:jc w:val="center"/>
        </w:trPr>
        <w:tc>
          <w:tcPr>
            <w:tcW w:w="156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 xml:space="preserve"> Nuri NECİPOĞLU</w:t>
            </w:r>
          </w:p>
        </w:tc>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 xml:space="preserve">Üye </w:t>
            </w:r>
          </w:p>
          <w:p w:rsidR="00F0225D" w:rsidRPr="00F0225D" w:rsidRDefault="00F0225D" w:rsidP="00F0225D">
            <w:pPr>
              <w:overflowPunct w:val="0"/>
              <w:autoSpaceDE w:val="0"/>
              <w:autoSpaceDN w:val="0"/>
              <w:adjustRightInd w:val="0"/>
              <w:spacing w:before="240" w:after="240"/>
              <w:jc w:val="center"/>
              <w:rPr>
                <w:color w:val="010000"/>
                <w:szCs w:val="19"/>
              </w:rPr>
            </w:pPr>
            <w:proofErr w:type="spellStart"/>
            <w:r w:rsidRPr="00F0225D">
              <w:rPr>
                <w:color w:val="010000"/>
                <w:szCs w:val="19"/>
              </w:rPr>
              <w:t>Hicabi</w:t>
            </w:r>
            <w:proofErr w:type="spellEnd"/>
            <w:r w:rsidRPr="00F0225D">
              <w:rPr>
                <w:color w:val="010000"/>
                <w:szCs w:val="19"/>
              </w:rPr>
              <w:t xml:space="preserve"> DURSUN</w:t>
            </w:r>
            <w:r w:rsidRPr="00F0225D">
              <w:rPr>
                <w:color w:val="010000"/>
                <w:szCs w:val="19"/>
              </w:rPr>
              <w:t xml:space="preserve"> </w:t>
            </w:r>
          </w:p>
        </w:tc>
        <w:tc>
          <w:tcPr>
            <w:tcW w:w="1818"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Celal Mümtaz AKINCI</w:t>
            </w:r>
          </w:p>
        </w:tc>
      </w:tr>
      <w:tr w:rsidR="00F0225D" w:rsidRPr="00F0225D" w:rsidTr="00F0225D">
        <w:trPr>
          <w:jc w:val="center"/>
        </w:trPr>
        <w:tc>
          <w:tcPr>
            <w:tcW w:w="156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Muammer TOPAL</w:t>
            </w:r>
          </w:p>
        </w:tc>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M. Emin KUZ</w:t>
            </w:r>
          </w:p>
        </w:tc>
        <w:tc>
          <w:tcPr>
            <w:tcW w:w="1818"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Hasan Tahsin GÖKCAN</w:t>
            </w:r>
          </w:p>
        </w:tc>
      </w:tr>
      <w:tr w:rsidR="00F0225D" w:rsidRPr="00F0225D" w:rsidTr="00F0225D">
        <w:trPr>
          <w:gridBefore w:val="1"/>
          <w:gridAfter w:val="1"/>
          <w:wBefore w:w="858" w:type="pct"/>
          <w:wAfter w:w="707" w:type="pct"/>
          <w:jc w:val="center"/>
        </w:trPr>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lastRenderedPageBreak/>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Kadir ÖZKAYA</w:t>
            </w:r>
          </w:p>
        </w:tc>
        <w:tc>
          <w:tcPr>
            <w:tcW w:w="1819"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Rıdvan GÜLEÇ</w:t>
            </w:r>
          </w:p>
        </w:tc>
      </w:tr>
      <w:tr w:rsidR="00F0225D" w:rsidRPr="00F0225D" w:rsidTr="00F0225D">
        <w:trPr>
          <w:gridBefore w:val="1"/>
          <w:gridAfter w:val="1"/>
          <w:wBefore w:w="858" w:type="pct"/>
          <w:wAfter w:w="707" w:type="pct"/>
          <w:jc w:val="center"/>
        </w:trPr>
        <w:tc>
          <w:tcPr>
            <w:tcW w:w="1616"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bCs/>
                <w:color w:val="010000"/>
                <w:szCs w:val="19"/>
              </w:rPr>
              <w:t>Recai AKYEL</w:t>
            </w:r>
          </w:p>
        </w:tc>
        <w:tc>
          <w:tcPr>
            <w:tcW w:w="1819" w:type="pct"/>
            <w:gridSpan w:val="2"/>
            <w:hideMark/>
          </w:tcPr>
          <w:p w:rsidR="00F0225D" w:rsidRPr="00F0225D" w:rsidRDefault="00F0225D" w:rsidP="00F0225D">
            <w:pPr>
              <w:overflowPunct w:val="0"/>
              <w:autoSpaceDE w:val="0"/>
              <w:autoSpaceDN w:val="0"/>
              <w:adjustRightInd w:val="0"/>
              <w:spacing w:before="240" w:after="240"/>
              <w:jc w:val="center"/>
              <w:rPr>
                <w:color w:val="010000"/>
                <w:szCs w:val="19"/>
              </w:rPr>
            </w:pPr>
            <w:r w:rsidRPr="00F0225D">
              <w:rPr>
                <w:color w:val="010000"/>
                <w:szCs w:val="19"/>
              </w:rPr>
              <w:t>Üye</w:t>
            </w:r>
          </w:p>
          <w:p w:rsidR="00F0225D" w:rsidRPr="00F0225D" w:rsidRDefault="00F0225D" w:rsidP="00F0225D">
            <w:pPr>
              <w:overflowPunct w:val="0"/>
              <w:autoSpaceDE w:val="0"/>
              <w:autoSpaceDN w:val="0"/>
              <w:adjustRightInd w:val="0"/>
              <w:spacing w:before="240" w:after="240"/>
              <w:jc w:val="center"/>
              <w:rPr>
                <w:color w:val="010000"/>
                <w:szCs w:val="19"/>
              </w:rPr>
            </w:pPr>
            <w:r w:rsidRPr="00F0225D">
              <w:rPr>
                <w:bCs/>
                <w:color w:val="010000"/>
                <w:szCs w:val="19"/>
              </w:rPr>
              <w:t>Yusuf Şevki HAKYEMEZ</w:t>
            </w:r>
          </w:p>
        </w:tc>
      </w:tr>
    </w:tbl>
    <w:p w:rsidR="00F0225D" w:rsidRPr="00F0225D" w:rsidRDefault="00F0225D" w:rsidP="00F0225D">
      <w:pPr>
        <w:spacing w:after="200"/>
        <w:ind w:right="283" w:firstLine="709"/>
        <w:jc w:val="both"/>
        <w:rPr>
          <w:color w:val="010000"/>
          <w:szCs w:val="19"/>
        </w:rPr>
      </w:pPr>
    </w:p>
    <w:sectPr w:rsidR="00F0225D" w:rsidRPr="00F0225D" w:rsidSect="00F0225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778" w:rsidRDefault="00FE0778" w:rsidP="00F0225D">
      <w:r>
        <w:separator/>
      </w:r>
    </w:p>
  </w:endnote>
  <w:endnote w:type="continuationSeparator" w:id="0">
    <w:p w:rsidR="00FE0778" w:rsidRDefault="00FE0778" w:rsidP="00F0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25D" w:rsidRDefault="00F0225D"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0225D" w:rsidRDefault="00F0225D" w:rsidP="00F022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25D" w:rsidRPr="00F0225D" w:rsidRDefault="00F0225D" w:rsidP="00CA3CD2">
    <w:pPr>
      <w:pStyle w:val="AltBilgi"/>
      <w:framePr w:wrap="around" w:vAnchor="text" w:hAnchor="margin" w:xAlign="right" w:y="1"/>
      <w:rPr>
        <w:rStyle w:val="SayfaNumaras"/>
      </w:rPr>
    </w:pPr>
    <w:r w:rsidRPr="00F0225D">
      <w:rPr>
        <w:rStyle w:val="SayfaNumaras"/>
      </w:rPr>
      <w:fldChar w:fldCharType="begin"/>
    </w:r>
    <w:r w:rsidRPr="00F0225D">
      <w:rPr>
        <w:rStyle w:val="SayfaNumaras"/>
      </w:rPr>
      <w:instrText xml:space="preserve"> PAGE </w:instrText>
    </w:r>
    <w:r w:rsidRPr="00F0225D">
      <w:rPr>
        <w:rStyle w:val="SayfaNumaras"/>
      </w:rPr>
      <w:fldChar w:fldCharType="separate"/>
    </w:r>
    <w:r w:rsidRPr="00F0225D">
      <w:rPr>
        <w:rStyle w:val="SayfaNumaras"/>
        <w:noProof/>
      </w:rPr>
      <w:t>1</w:t>
    </w:r>
    <w:r w:rsidRPr="00F0225D">
      <w:rPr>
        <w:rStyle w:val="SayfaNumaras"/>
      </w:rPr>
      <w:fldChar w:fldCharType="end"/>
    </w:r>
  </w:p>
  <w:p w:rsidR="00657720" w:rsidRDefault="00FE0778" w:rsidP="00F0225D">
    <w:pPr>
      <w:pStyle w:val="a"/>
      <w:ind w:right="360"/>
      <w:jc w:val="center"/>
    </w:pPr>
  </w:p>
  <w:p w:rsidR="00657720" w:rsidRDefault="00FE077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778" w:rsidRDefault="00FE0778" w:rsidP="00F0225D">
      <w:r>
        <w:separator/>
      </w:r>
    </w:p>
  </w:footnote>
  <w:footnote w:type="continuationSeparator" w:id="0">
    <w:p w:rsidR="00FE0778" w:rsidRDefault="00FE0778" w:rsidP="00F0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25D" w:rsidRPr="00F0225D" w:rsidRDefault="00F0225D" w:rsidP="00F0225D">
    <w:pPr>
      <w:pStyle w:val="stBilgi"/>
      <w:rPr>
        <w:b/>
      </w:rPr>
    </w:pPr>
    <w:r w:rsidRPr="00F0225D">
      <w:rPr>
        <w:b/>
      </w:rPr>
      <w:t>Esas Sayısı:2016/15 (Siyasi Parti Mali Denetimi)</w:t>
    </w:r>
  </w:p>
  <w:p w:rsidR="00F0225D" w:rsidRDefault="00F0225D" w:rsidP="00F0225D">
    <w:pPr>
      <w:pStyle w:val="stBilgi"/>
      <w:rPr>
        <w:b/>
      </w:rPr>
    </w:pPr>
    <w:r>
      <w:rPr>
        <w:b/>
      </w:rPr>
      <w:t>Karar Sayısı:2017/7</w:t>
    </w:r>
  </w:p>
  <w:p w:rsidR="00657720" w:rsidRPr="00F0225D" w:rsidRDefault="00FE0778" w:rsidP="00F0225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5D"/>
    <w:rsid w:val="00D12EB3"/>
    <w:rsid w:val="00F0225D"/>
    <w:rsid w:val="00FE07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35172-F3A8-4638-92F5-F74F2421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2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F0225D"/>
    <w:pPr>
      <w:tabs>
        <w:tab w:val="center" w:pos="4536"/>
        <w:tab w:val="right" w:pos="9072"/>
      </w:tabs>
    </w:pPr>
  </w:style>
  <w:style w:type="character" w:customStyle="1" w:styleId="AltbilgiChar">
    <w:name w:val="Altbilgi Char"/>
    <w:link w:val="a"/>
    <w:uiPriority w:val="99"/>
    <w:rsid w:val="00F0225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F0225D"/>
    <w:pPr>
      <w:tabs>
        <w:tab w:val="center" w:pos="4536"/>
        <w:tab w:val="right" w:pos="9072"/>
      </w:tabs>
    </w:pPr>
  </w:style>
  <w:style w:type="character" w:customStyle="1" w:styleId="AltBilgiChar0">
    <w:name w:val="Alt Bilgi Char"/>
    <w:basedOn w:val="VarsaylanParagrafYazTipi"/>
    <w:link w:val="AltBilgi"/>
    <w:uiPriority w:val="99"/>
    <w:rsid w:val="00F0225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0225D"/>
    <w:pPr>
      <w:tabs>
        <w:tab w:val="center" w:pos="4536"/>
        <w:tab w:val="right" w:pos="9072"/>
      </w:tabs>
    </w:pPr>
  </w:style>
  <w:style w:type="character" w:customStyle="1" w:styleId="stBilgiChar">
    <w:name w:val="Üst Bilgi Char"/>
    <w:basedOn w:val="VarsaylanParagrafYazTipi"/>
    <w:link w:val="stBilgi"/>
    <w:uiPriority w:val="99"/>
    <w:rsid w:val="00F0225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0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2020-06-17T07:00:00Z</dcterms:created>
  <dcterms:modified xsi:type="dcterms:W3CDTF">2020-06-17T07:00:00Z</dcterms:modified>
</cp:coreProperties>
</file>