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F2EE9" w:rsidRDefault="001F2EE9" w:rsidP="001F2EE9">
      <w:pPr>
        <w:overflowPunct w:val="0"/>
        <w:autoSpaceDE w:val="0"/>
        <w:autoSpaceDN w:val="0"/>
        <w:spacing w:after="200"/>
        <w:ind w:right="283"/>
        <w:jc w:val="center"/>
        <w:rPr>
          <w:b/>
          <w:bCs/>
          <w:caps/>
          <w:color w:val="010000"/>
          <w:szCs w:val="30"/>
        </w:rPr>
      </w:pPr>
      <w:r w:rsidRPr="001F2EE9">
        <w:rPr>
          <w:b/>
          <w:bCs/>
          <w:caps/>
          <w:color w:val="010000"/>
          <w:szCs w:val="30"/>
        </w:rPr>
        <w:t xml:space="preserve"> </w:t>
      </w:r>
      <w:r w:rsidRPr="001F2EE9">
        <w:rPr>
          <w:b/>
          <w:bCs/>
          <w:caps/>
          <w:color w:val="010000"/>
          <w:szCs w:val="30"/>
        </w:rPr>
        <w:t>ANAYASA MAHKEMESİ KARARI</w:t>
      </w:r>
    </w:p>
    <w:p w:rsidR="001F2EE9" w:rsidRPr="001F2EE9" w:rsidRDefault="001F2EE9" w:rsidP="001F2EE9">
      <w:pPr>
        <w:overflowPunct w:val="0"/>
        <w:autoSpaceDE w:val="0"/>
        <w:autoSpaceDN w:val="0"/>
        <w:spacing w:after="200"/>
        <w:ind w:right="283" w:firstLine="709"/>
        <w:jc w:val="center"/>
        <w:rPr>
          <w:b/>
          <w:caps/>
          <w:color w:val="010000"/>
          <w:szCs w:val="30"/>
        </w:rPr>
      </w:pPr>
    </w:p>
    <w:p w:rsidR="001F2EE9" w:rsidRDefault="001F2EE9" w:rsidP="001F2EE9">
      <w:pPr>
        <w:overflowPunct w:val="0"/>
        <w:autoSpaceDE w:val="0"/>
        <w:autoSpaceDN w:val="0"/>
        <w:rPr>
          <w:b/>
          <w:bCs/>
          <w:color w:val="010000"/>
          <w:szCs w:val="22"/>
        </w:rPr>
      </w:pPr>
      <w:r>
        <w:rPr>
          <w:b/>
          <w:bCs/>
          <w:color w:val="010000"/>
          <w:szCs w:val="22"/>
        </w:rPr>
        <w:t>Esas Sayısı:2015/67 (Siyasi Parti Mali Denetimi)</w:t>
      </w:r>
    </w:p>
    <w:p w:rsidR="001F2EE9" w:rsidRDefault="001F2EE9" w:rsidP="001F2EE9">
      <w:pPr>
        <w:overflowPunct w:val="0"/>
        <w:autoSpaceDE w:val="0"/>
        <w:autoSpaceDN w:val="0"/>
        <w:rPr>
          <w:b/>
          <w:bCs/>
          <w:color w:val="010000"/>
          <w:szCs w:val="22"/>
          <w:lang w:eastAsia="zh-CN"/>
        </w:rPr>
      </w:pPr>
      <w:r>
        <w:rPr>
          <w:b/>
          <w:bCs/>
          <w:color w:val="010000"/>
          <w:szCs w:val="22"/>
          <w:lang w:eastAsia="zh-CN"/>
        </w:rPr>
        <w:t>Karar Sayısı:2016/18</w:t>
      </w:r>
    </w:p>
    <w:p w:rsidR="001F2EE9" w:rsidRDefault="001F2EE9" w:rsidP="001F2EE9">
      <w:pPr>
        <w:overflowPunct w:val="0"/>
        <w:autoSpaceDE w:val="0"/>
        <w:autoSpaceDN w:val="0"/>
        <w:rPr>
          <w:b/>
          <w:bCs/>
          <w:color w:val="010000"/>
          <w:szCs w:val="22"/>
          <w:lang w:eastAsia="zh-CN"/>
        </w:rPr>
      </w:pPr>
      <w:r>
        <w:rPr>
          <w:b/>
          <w:bCs/>
          <w:color w:val="010000"/>
          <w:szCs w:val="22"/>
          <w:lang w:eastAsia="zh-CN"/>
        </w:rPr>
        <w:t>Karar Tarihi:26.5.2016</w:t>
      </w:r>
    </w:p>
    <w:p w:rsidR="001F2EE9" w:rsidRDefault="001F2EE9" w:rsidP="001F2EE9">
      <w:pPr>
        <w:overflowPunct w:val="0"/>
        <w:autoSpaceDE w:val="0"/>
        <w:autoSpaceDN w:val="0"/>
        <w:rPr>
          <w:b/>
          <w:bCs/>
          <w:color w:val="010000"/>
          <w:szCs w:val="22"/>
          <w:lang w:eastAsia="zh-CN"/>
        </w:rPr>
      </w:pPr>
      <w:proofErr w:type="spellStart"/>
      <w:r>
        <w:rPr>
          <w:b/>
          <w:bCs/>
          <w:color w:val="010000"/>
          <w:szCs w:val="22"/>
          <w:lang w:eastAsia="zh-CN"/>
        </w:rPr>
        <w:t>R.</w:t>
      </w:r>
      <w:proofErr w:type="gramStart"/>
      <w:r>
        <w:rPr>
          <w:b/>
          <w:bCs/>
          <w:color w:val="010000"/>
          <w:szCs w:val="22"/>
          <w:lang w:eastAsia="zh-CN"/>
        </w:rPr>
        <w:t>G.Tarih</w:t>
      </w:r>
      <w:proofErr w:type="spellEnd"/>
      <w:proofErr w:type="gramEnd"/>
      <w:r>
        <w:rPr>
          <w:b/>
          <w:bCs/>
          <w:color w:val="010000"/>
          <w:szCs w:val="22"/>
          <w:lang w:eastAsia="zh-CN"/>
        </w:rPr>
        <w:t xml:space="preserve"> –Sayısı:17.08.2016-29804</w:t>
      </w:r>
    </w:p>
    <w:p w:rsidR="001F2EE9" w:rsidRPr="001F2EE9" w:rsidRDefault="001F2EE9" w:rsidP="001F2EE9">
      <w:pPr>
        <w:overflowPunct w:val="0"/>
        <w:autoSpaceDE w:val="0"/>
        <w:autoSpaceDN w:val="0"/>
        <w:rPr>
          <w:b/>
          <w:bCs/>
          <w:color w:val="010000"/>
          <w:szCs w:val="22"/>
          <w:lang w:eastAsia="zh-CN"/>
        </w:rPr>
      </w:pPr>
    </w:p>
    <w:p w:rsidR="001F2EE9" w:rsidRPr="001F2EE9" w:rsidRDefault="001F2EE9" w:rsidP="001F2EE9">
      <w:pPr>
        <w:overflowPunct w:val="0"/>
        <w:autoSpaceDE w:val="0"/>
        <w:autoSpaceDN w:val="0"/>
        <w:spacing w:after="200"/>
        <w:ind w:right="283" w:firstLine="709"/>
        <w:jc w:val="both"/>
        <w:rPr>
          <w:color w:val="010000"/>
          <w:szCs w:val="16"/>
        </w:rPr>
      </w:pPr>
      <w:r w:rsidRPr="001F2EE9">
        <w:rPr>
          <w:b/>
          <w:bCs/>
          <w:color w:val="010000"/>
          <w:szCs w:val="22"/>
        </w:rPr>
        <w:t>I- MALİ DENETİMİN KONUSU</w:t>
      </w:r>
      <w:r w:rsidRPr="001F2EE9">
        <w:rPr>
          <w:color w:val="010000"/>
          <w:szCs w:val="22"/>
        </w:rPr>
        <w:t xml:space="preserve"> </w:t>
      </w:r>
    </w:p>
    <w:p w:rsidR="001F2EE9" w:rsidRPr="001F2EE9" w:rsidRDefault="001F2EE9" w:rsidP="001F2EE9">
      <w:pPr>
        <w:overflowPunct w:val="0"/>
        <w:autoSpaceDE w:val="0"/>
        <w:autoSpaceDN w:val="0"/>
        <w:spacing w:after="200"/>
        <w:ind w:right="283" w:firstLine="709"/>
        <w:jc w:val="both"/>
        <w:rPr>
          <w:color w:val="010000"/>
          <w:szCs w:val="16"/>
        </w:rPr>
      </w:pPr>
      <w:r w:rsidRPr="001F2EE9">
        <w:rPr>
          <w:color w:val="010000"/>
          <w:szCs w:val="19"/>
        </w:rPr>
        <w:t>Gönül Birliği Yeşiller Partisi 2014 yılı kesin hesabının incelenmesidir.</w:t>
      </w:r>
    </w:p>
    <w:p w:rsidR="001F2EE9" w:rsidRPr="001F2EE9" w:rsidRDefault="001F2EE9" w:rsidP="001F2EE9">
      <w:pPr>
        <w:spacing w:after="200"/>
        <w:ind w:right="283" w:firstLine="709"/>
        <w:jc w:val="both"/>
        <w:rPr>
          <w:color w:val="010000"/>
          <w:szCs w:val="16"/>
        </w:rPr>
      </w:pPr>
      <w:r w:rsidRPr="001F2EE9">
        <w:rPr>
          <w:b/>
          <w:bCs/>
          <w:color w:val="010000"/>
          <w:szCs w:val="22"/>
        </w:rPr>
        <w:t>II- İLK İNCELEME</w:t>
      </w:r>
    </w:p>
    <w:p w:rsidR="001F2EE9" w:rsidRPr="001F2EE9" w:rsidRDefault="001F2EE9" w:rsidP="001F2EE9">
      <w:pPr>
        <w:spacing w:after="200"/>
        <w:ind w:right="283" w:firstLine="709"/>
        <w:jc w:val="both"/>
        <w:rPr>
          <w:color w:val="010000"/>
          <w:szCs w:val="19"/>
        </w:rPr>
      </w:pPr>
      <w:r w:rsidRPr="001F2EE9">
        <w:rPr>
          <w:color w:val="010000"/>
          <w:szCs w:val="19"/>
        </w:rPr>
        <w:t xml:space="preserve">1. Anayasa Mahkemesi İçtüzüğü hükümleri uyarınca Burhan ÜSTÜN, Engin YILDIRIM, Serdar ÖZGÜLDÜR, </w:t>
      </w:r>
      <w:proofErr w:type="spellStart"/>
      <w:r w:rsidRPr="001F2EE9">
        <w:rPr>
          <w:color w:val="010000"/>
          <w:szCs w:val="19"/>
        </w:rPr>
        <w:t>Serruh</w:t>
      </w:r>
      <w:proofErr w:type="spellEnd"/>
      <w:r w:rsidRPr="001F2EE9">
        <w:rPr>
          <w:color w:val="010000"/>
          <w:szCs w:val="19"/>
        </w:rPr>
        <w:t xml:space="preserve"> KALELİ, Osman </w:t>
      </w:r>
      <w:proofErr w:type="spellStart"/>
      <w:r w:rsidRPr="001F2EE9">
        <w:rPr>
          <w:color w:val="010000"/>
          <w:szCs w:val="19"/>
        </w:rPr>
        <w:t>Alifeyyaz</w:t>
      </w:r>
      <w:proofErr w:type="spellEnd"/>
      <w:r w:rsidRPr="001F2EE9">
        <w:rPr>
          <w:color w:val="010000"/>
          <w:szCs w:val="19"/>
        </w:rPr>
        <w:t xml:space="preserve"> PAKSÜT, Alparslan ALTAN, Celal Mümtaz AKINCI, Erdal TERCAN, Muammer TOPAL, M. Emin KUZ, Hasan Tahsin GÖKCAN, Kadir ÖZKAYA ve Rıdvan </w:t>
      </w:r>
      <w:proofErr w:type="spellStart"/>
      <w:r w:rsidRPr="001F2EE9">
        <w:rPr>
          <w:color w:val="010000"/>
          <w:szCs w:val="19"/>
        </w:rPr>
        <w:t>GÜLEÇ’in</w:t>
      </w:r>
      <w:proofErr w:type="spellEnd"/>
      <w:r w:rsidRPr="001F2EE9">
        <w:rPr>
          <w:color w:val="010000"/>
          <w:szCs w:val="19"/>
        </w:rPr>
        <w:t xml:space="preserve"> katılımlarıyla 26.5.2016 tarihinde yapılan ilk inceleme toplantısında öncelikle suç duyurusunda bulunulup bulunulmayacağı sorunu görüşülmüştür.</w:t>
      </w:r>
    </w:p>
    <w:p w:rsidR="001F2EE9" w:rsidRPr="001F2EE9" w:rsidRDefault="001F2EE9" w:rsidP="001F2EE9">
      <w:pPr>
        <w:spacing w:after="200"/>
        <w:ind w:right="283" w:firstLine="709"/>
        <w:jc w:val="both"/>
        <w:rPr>
          <w:color w:val="010000"/>
          <w:szCs w:val="19"/>
        </w:rPr>
      </w:pPr>
      <w:r w:rsidRPr="001F2EE9">
        <w:rPr>
          <w:color w:val="010000"/>
          <w:szCs w:val="19"/>
        </w:rPr>
        <w:t xml:space="preserve">2. 2820 sayılı Siyasi Partiler Kanunu’nun 73. maddesinin üçüncü fıkrasında </w:t>
      </w:r>
      <w:r w:rsidRPr="001F2EE9">
        <w:rPr>
          <w:i/>
          <w:color w:val="010000"/>
          <w:szCs w:val="19"/>
        </w:rPr>
        <w:t>“İller teşkilatından gönderilenler ve parti merkezine ait olan kesin hesapların, Merkez Karar ve Yönetim Kurulunca incelenerek karara bağlanacağı”</w:t>
      </w:r>
      <w:r w:rsidRPr="001F2EE9">
        <w:rPr>
          <w:color w:val="010000"/>
          <w:szCs w:val="19"/>
        </w:rPr>
        <w:t xml:space="preserve"> öngörülmüş ve aynı Kanun’un 74. maddesinin ikinci fıkrasında da </w:t>
      </w:r>
      <w:r w:rsidRPr="001F2EE9">
        <w:rPr>
          <w:i/>
          <w:color w:val="010000"/>
          <w:szCs w:val="19"/>
        </w:rPr>
        <w:t>“Siyasi partilerin genel başkanları, karara bağlanarak birleştirilmiş bulunan kesin hesap ile parti merkez ve bağlı ilçeleri de kapsayan iller teşkilatının kesin hesaplarının onaylı birer örneğini Haziran ayı sonuna kadar Anayasa Mahkemesine ve bilgi için Yargıtay Cumhuriyet Başsavcılığı’na vermek zorundadırlar. Bu belgelere, ilgili siyasi partinin aynı hesap döneminde edindiği taşınmaz ve değeri yüz milyon lirayı aşan taşınır malların, menkul kıymetlerin ve her türlü hakların değerleri ile edinim tarihlerini ve şekillerini de belirten listeleri eklenir.”</w:t>
      </w:r>
      <w:r w:rsidRPr="001F2EE9">
        <w:rPr>
          <w:color w:val="010000"/>
          <w:szCs w:val="19"/>
        </w:rPr>
        <w:t xml:space="preserve"> </w:t>
      </w:r>
      <w:r w:rsidRPr="001F2EE9">
        <w:rPr>
          <w:color w:val="010000"/>
          <w:szCs w:val="19"/>
        </w:rPr>
        <w:t>denilerek il örgütlerinden gönderilen kesin hesaplar ile Parti Genel Merkezine ilişkin kesin hesabın Merkez Karar ve Yönetim Kurulunca incelenerek karara bağlanacağı, birleştirileceği ve birleştirilmiş kesin hesap cetvellerinin Anayasa Mahkemesine sunulacağı hükme bağlanmıştır.</w:t>
      </w:r>
    </w:p>
    <w:p w:rsidR="001F2EE9" w:rsidRPr="001F2EE9" w:rsidRDefault="001F2EE9" w:rsidP="001F2EE9">
      <w:pPr>
        <w:spacing w:after="200"/>
        <w:ind w:right="283" w:firstLine="709"/>
        <w:jc w:val="both"/>
        <w:rPr>
          <w:color w:val="010000"/>
          <w:szCs w:val="19"/>
        </w:rPr>
      </w:pPr>
      <w:r w:rsidRPr="001F2EE9">
        <w:rPr>
          <w:color w:val="010000"/>
          <w:szCs w:val="19"/>
        </w:rPr>
        <w:t xml:space="preserve">3. Gönül Birliği Yeşiller Partisi, genel merkez kesin hesap cetvelini 3.7.2015 tarihinde Anayasa Mahkemesine sunmuş, dolayısıyla 2820 sayılı Siyasi Partiler Kanunu’nun 74. maddesindeki </w:t>
      </w:r>
      <w:r w:rsidRPr="001F2EE9">
        <w:rPr>
          <w:i/>
          <w:color w:val="010000"/>
          <w:szCs w:val="19"/>
        </w:rPr>
        <w:t>“…</w:t>
      </w:r>
      <w:proofErr w:type="gramStart"/>
      <w:r w:rsidRPr="001F2EE9">
        <w:rPr>
          <w:i/>
          <w:color w:val="010000"/>
          <w:szCs w:val="19"/>
        </w:rPr>
        <w:t>Haziran</w:t>
      </w:r>
      <w:proofErr w:type="gramEnd"/>
      <w:r w:rsidRPr="001F2EE9">
        <w:rPr>
          <w:i/>
          <w:color w:val="010000"/>
          <w:szCs w:val="19"/>
        </w:rPr>
        <w:t xml:space="preserve"> ayı sonuna kadar Anayasa Mahkemesine ve bilgi için Yargıtay Cumhuriyet Başsavcılığına vermek zorundadırlar.”</w:t>
      </w:r>
      <w:r w:rsidRPr="001F2EE9">
        <w:rPr>
          <w:color w:val="010000"/>
          <w:szCs w:val="19"/>
        </w:rPr>
        <w:t xml:space="preserve"> amir hükmüne uymamıştır.</w:t>
      </w:r>
    </w:p>
    <w:p w:rsidR="001F2EE9" w:rsidRPr="001F2EE9" w:rsidRDefault="001F2EE9" w:rsidP="001F2EE9">
      <w:pPr>
        <w:spacing w:after="200"/>
        <w:ind w:right="283" w:firstLine="709"/>
        <w:jc w:val="both"/>
        <w:rPr>
          <w:color w:val="010000"/>
          <w:szCs w:val="19"/>
        </w:rPr>
      </w:pPr>
      <w:r w:rsidRPr="001F2EE9">
        <w:rPr>
          <w:color w:val="010000"/>
          <w:szCs w:val="19"/>
        </w:rPr>
        <w:t xml:space="preserve">4. 2820 sayılı Siyasi Partiler Kanunu’nun 111. maddesinin birinci fıkrasının (b) bendinde: </w:t>
      </w:r>
      <w:r w:rsidRPr="001F2EE9">
        <w:rPr>
          <w:i/>
          <w:color w:val="010000"/>
          <w:szCs w:val="19"/>
        </w:rPr>
        <w:t>“</w:t>
      </w:r>
      <w:proofErr w:type="gramStart"/>
      <w:r w:rsidRPr="001F2EE9">
        <w:rPr>
          <w:i/>
          <w:color w:val="010000"/>
          <w:szCs w:val="19"/>
        </w:rPr>
        <w:t>74 üncü</w:t>
      </w:r>
      <w:proofErr w:type="gramEnd"/>
      <w:r w:rsidRPr="001F2EE9">
        <w:rPr>
          <w:i/>
          <w:color w:val="010000"/>
          <w:szCs w:val="19"/>
        </w:rPr>
        <w:t xml:space="preserve"> madde hükümlerine aykırı hareket eden sorumluları hakkında, üç aydan altı aya kadar hafif hapis ve 15 milyon liradan 30 milyon liraya kadar hafif para cezası verilir.” </w:t>
      </w:r>
      <w:r w:rsidRPr="001F2EE9">
        <w:rPr>
          <w:color w:val="010000"/>
          <w:szCs w:val="19"/>
        </w:rPr>
        <w:t>denilmektedir.</w:t>
      </w:r>
    </w:p>
    <w:p w:rsidR="001F2EE9" w:rsidRPr="001F2EE9" w:rsidRDefault="001F2EE9" w:rsidP="001F2EE9">
      <w:pPr>
        <w:spacing w:after="200"/>
        <w:ind w:right="283" w:firstLine="709"/>
        <w:jc w:val="both"/>
        <w:rPr>
          <w:color w:val="010000"/>
          <w:szCs w:val="19"/>
        </w:rPr>
      </w:pPr>
      <w:r w:rsidRPr="001F2EE9">
        <w:rPr>
          <w:color w:val="010000"/>
          <w:szCs w:val="19"/>
        </w:rPr>
        <w:t>5. 2820 sayılı Kanun’un 74. maddesi hükümlerine aykırı hareket eden parti sorumluları hakkında Kanun’un 111. maddesinin birinci fıkrasının (b) bendi uyarınca gerekli işlemlerin yapılması için Ankara Cumhuriyet Başsavcılığına suç duyurusunda bulunulması gerekir.</w:t>
      </w:r>
    </w:p>
    <w:p w:rsidR="001F2EE9" w:rsidRPr="001F2EE9" w:rsidRDefault="001F2EE9" w:rsidP="001F2EE9">
      <w:pPr>
        <w:spacing w:after="200"/>
        <w:ind w:right="283" w:firstLine="709"/>
        <w:jc w:val="both"/>
        <w:rPr>
          <w:color w:val="010000"/>
          <w:szCs w:val="19"/>
        </w:rPr>
      </w:pPr>
      <w:r w:rsidRPr="001F2EE9">
        <w:rPr>
          <w:color w:val="010000"/>
          <w:szCs w:val="19"/>
        </w:rPr>
        <w:t>6. Bu itibarla Gönül Birliği Yeşiller Partisinin 2014 yılı kesin hesabının incelenmesi sonucunda;</w:t>
      </w:r>
    </w:p>
    <w:p w:rsidR="001F2EE9" w:rsidRPr="001F2EE9" w:rsidRDefault="001F2EE9" w:rsidP="001F2EE9">
      <w:pPr>
        <w:spacing w:after="200"/>
        <w:ind w:right="283" w:firstLine="709"/>
        <w:jc w:val="both"/>
        <w:rPr>
          <w:color w:val="010000"/>
          <w:szCs w:val="19"/>
        </w:rPr>
      </w:pPr>
      <w:r w:rsidRPr="001F2EE9">
        <w:rPr>
          <w:b/>
          <w:color w:val="010000"/>
          <w:szCs w:val="19"/>
        </w:rPr>
        <w:t xml:space="preserve"> </w:t>
      </w:r>
      <w:r w:rsidRPr="001F2EE9">
        <w:rPr>
          <w:color w:val="010000"/>
          <w:szCs w:val="19"/>
        </w:rPr>
        <w:t>1- Genel Merkeze ait kesin hesap cetvelinin sunulmasından dolayı işin esasının incelenmesine,</w:t>
      </w:r>
      <w:r w:rsidRPr="001F2EE9">
        <w:rPr>
          <w:color w:val="010000"/>
          <w:szCs w:val="19"/>
        </w:rPr>
        <w:t xml:space="preserve"> </w:t>
      </w:r>
    </w:p>
    <w:p w:rsidR="001F2EE9" w:rsidRPr="001F2EE9" w:rsidRDefault="001F2EE9" w:rsidP="001F2EE9">
      <w:pPr>
        <w:spacing w:after="200"/>
        <w:ind w:right="283" w:firstLine="709"/>
        <w:jc w:val="both"/>
        <w:rPr>
          <w:color w:val="010000"/>
          <w:szCs w:val="19"/>
        </w:rPr>
      </w:pPr>
      <w:r w:rsidRPr="001F2EE9">
        <w:rPr>
          <w:color w:val="010000"/>
          <w:szCs w:val="19"/>
        </w:rPr>
        <w:lastRenderedPageBreak/>
        <w:t>2- Anayasa Mahkemesine, istenen bilgilerin istendiği sürede verilmemesi nedeniyle, Parti sorumluları hakkında 2820 sayılı Kanun’un 111. maddesinin birinci fıkrasının (b) bendi uyarınca yasal işlem yapılması için Ankara Cumhuriyet Başsavcılığına suç duyurusunda bulunulmasına,</w:t>
      </w:r>
    </w:p>
    <w:p w:rsidR="001F2EE9" w:rsidRPr="001F2EE9" w:rsidRDefault="001F2EE9" w:rsidP="001F2EE9">
      <w:pPr>
        <w:spacing w:after="200"/>
        <w:ind w:right="283" w:firstLine="709"/>
        <w:jc w:val="both"/>
        <w:rPr>
          <w:color w:val="010000"/>
          <w:szCs w:val="19"/>
        </w:rPr>
      </w:pPr>
      <w:r w:rsidRPr="001F2EE9">
        <w:rPr>
          <w:color w:val="010000"/>
          <w:szCs w:val="19"/>
        </w:rPr>
        <w:t>OYBİRLİĞİYLE karar verilmiştir.</w:t>
      </w:r>
    </w:p>
    <w:p w:rsidR="001F2EE9" w:rsidRPr="001F2EE9" w:rsidRDefault="001F2EE9" w:rsidP="001F2EE9">
      <w:pPr>
        <w:overflowPunct w:val="0"/>
        <w:autoSpaceDE w:val="0"/>
        <w:autoSpaceDN w:val="0"/>
        <w:spacing w:after="200"/>
        <w:ind w:right="283" w:firstLine="709"/>
        <w:jc w:val="both"/>
        <w:rPr>
          <w:color w:val="010000"/>
          <w:szCs w:val="22"/>
        </w:rPr>
      </w:pPr>
      <w:r w:rsidRPr="001F2EE9">
        <w:rPr>
          <w:b/>
          <w:bCs/>
          <w:color w:val="010000"/>
          <w:szCs w:val="22"/>
        </w:rPr>
        <w:t>III- ESASIN İNCELENMESİ</w:t>
      </w:r>
    </w:p>
    <w:p w:rsidR="001F2EE9" w:rsidRPr="001F2EE9" w:rsidRDefault="001F2EE9" w:rsidP="001F2EE9">
      <w:pPr>
        <w:autoSpaceDE w:val="0"/>
        <w:autoSpaceDN w:val="0"/>
        <w:spacing w:after="200"/>
        <w:ind w:right="283" w:firstLine="709"/>
        <w:jc w:val="both"/>
        <w:rPr>
          <w:color w:val="010000"/>
          <w:szCs w:val="19"/>
        </w:rPr>
      </w:pPr>
      <w:r w:rsidRPr="001F2EE9">
        <w:rPr>
          <w:color w:val="010000"/>
          <w:szCs w:val="19"/>
        </w:rPr>
        <w:t>7. Gönül Birliği Yeşiller Partisinin Anayasa Mahkemesine verdiği 2014 yılı kesin hesap çizelgeleri ile dayanağını oluşturan defter ve belgeler üzerinde yapılan inceleme sonuçlarını içeren ve Raportör Sadettin CEYHAN tarafından heyete sunulan esas inceleme raporu, Anayasa ve 6216 sayılı Anayasa Mahkemesinin Kuruluşu ve Yargılama Usulleri Hakkında Kanun ile 2820 sayılı Siyasi Partiler Kanunu’nun ilgili kuralları, bunların gerekçeleri ile diğer yasama belgeleri okunup incelendikten sonra gereği görüşülüp düşünüldü:</w:t>
      </w:r>
    </w:p>
    <w:p w:rsidR="001F2EE9" w:rsidRPr="001F2EE9" w:rsidRDefault="001F2EE9" w:rsidP="001F2EE9">
      <w:pPr>
        <w:spacing w:after="200"/>
        <w:ind w:right="283" w:firstLine="709"/>
        <w:jc w:val="both"/>
        <w:rPr>
          <w:color w:val="010000"/>
          <w:szCs w:val="19"/>
        </w:rPr>
      </w:pPr>
      <w:r w:rsidRPr="001F2EE9">
        <w:rPr>
          <w:color w:val="010000"/>
          <w:szCs w:val="19"/>
        </w:rPr>
        <w:t>8. Denetimin maddi öğelerini oluşturan defter ve belgelerde Partinin 2014 yılı gelirlerinin 502,87 TL, giderler toplamının 600,00 TL olduğu anlaşılmaktadır.</w:t>
      </w:r>
    </w:p>
    <w:p w:rsidR="001F2EE9" w:rsidRPr="001F2EE9" w:rsidRDefault="001F2EE9" w:rsidP="001F2EE9">
      <w:pPr>
        <w:spacing w:after="200"/>
        <w:ind w:right="283" w:firstLine="709"/>
        <w:jc w:val="both"/>
        <w:rPr>
          <w:color w:val="010000"/>
          <w:szCs w:val="19"/>
        </w:rPr>
      </w:pPr>
      <w:r w:rsidRPr="001F2EE9">
        <w:rPr>
          <w:color w:val="010000"/>
          <w:szCs w:val="19"/>
        </w:rPr>
        <w:t>9. Partinin 2014 yılı kesin hesabının gelir ve gider rakamlarının yukarıda açıklanan tutarlardan oluştuğu, bu haliyle 2014 yılı kesin hesabının doğru, denk ve 2820 sayılı Kanun’a uygun olduğu sonucuna varılmıştır.</w:t>
      </w:r>
    </w:p>
    <w:p w:rsidR="001F2EE9" w:rsidRPr="001F2EE9" w:rsidRDefault="001F2EE9" w:rsidP="001F2EE9">
      <w:pPr>
        <w:overflowPunct w:val="0"/>
        <w:autoSpaceDE w:val="0"/>
        <w:autoSpaceDN w:val="0"/>
        <w:spacing w:after="200"/>
        <w:ind w:right="283" w:firstLine="709"/>
        <w:jc w:val="both"/>
        <w:rPr>
          <w:color w:val="010000"/>
          <w:szCs w:val="22"/>
        </w:rPr>
      </w:pPr>
      <w:r w:rsidRPr="001F2EE9">
        <w:rPr>
          <w:b/>
          <w:bCs/>
          <w:color w:val="010000"/>
          <w:szCs w:val="22"/>
        </w:rPr>
        <w:t>A-</w:t>
      </w:r>
      <w:r w:rsidRPr="001F2EE9">
        <w:rPr>
          <w:color w:val="010000"/>
          <w:szCs w:val="22"/>
        </w:rPr>
        <w:t xml:space="preserve"> </w:t>
      </w:r>
      <w:r w:rsidRPr="001F2EE9">
        <w:rPr>
          <w:b/>
          <w:bCs/>
          <w:color w:val="010000"/>
          <w:szCs w:val="22"/>
        </w:rPr>
        <w:t>Gelirlerin İncelenmesi</w:t>
      </w:r>
    </w:p>
    <w:p w:rsidR="001F2EE9" w:rsidRPr="001F2EE9" w:rsidRDefault="001F2EE9" w:rsidP="001F2EE9">
      <w:pPr>
        <w:spacing w:after="200"/>
        <w:ind w:right="283" w:firstLine="709"/>
        <w:jc w:val="both"/>
        <w:rPr>
          <w:color w:val="010000"/>
          <w:szCs w:val="22"/>
        </w:rPr>
      </w:pPr>
      <w:r w:rsidRPr="001F2EE9">
        <w:rPr>
          <w:b/>
          <w:bCs/>
          <w:color w:val="010000"/>
          <w:szCs w:val="22"/>
        </w:rPr>
        <w:t>Genel Merkez Gelirleri</w:t>
      </w:r>
    </w:p>
    <w:p w:rsidR="001F2EE9" w:rsidRPr="001F2EE9" w:rsidRDefault="001F2EE9" w:rsidP="001F2EE9">
      <w:pPr>
        <w:spacing w:after="200"/>
        <w:ind w:right="283" w:firstLine="709"/>
        <w:jc w:val="both"/>
        <w:rPr>
          <w:color w:val="010000"/>
          <w:szCs w:val="19"/>
        </w:rPr>
      </w:pPr>
      <w:r w:rsidRPr="001F2EE9">
        <w:rPr>
          <w:color w:val="010000"/>
          <w:szCs w:val="19"/>
        </w:rPr>
        <w:t>10. Parti Genel Merkezinin 2014 yılı gelirleri toplamı 502,87 TL olup, bunun tamamı aidat gelirlerinden oluşmaktadır.</w:t>
      </w:r>
    </w:p>
    <w:p w:rsidR="001F2EE9" w:rsidRPr="001F2EE9" w:rsidRDefault="001F2EE9" w:rsidP="001F2EE9">
      <w:pPr>
        <w:spacing w:after="200"/>
        <w:ind w:right="283" w:firstLine="709"/>
        <w:jc w:val="both"/>
        <w:rPr>
          <w:color w:val="010000"/>
          <w:szCs w:val="19"/>
        </w:rPr>
      </w:pPr>
      <w:r w:rsidRPr="001F2EE9">
        <w:rPr>
          <w:color w:val="010000"/>
          <w:szCs w:val="19"/>
        </w:rPr>
        <w:t>11. 2014 yılı için 2820 sayılı Kanun’un 66. maddesine göre yasal bağış sınırı 31.917,28 TL olup söz konusu yasal bağış sınırı aşılmamıştır.</w:t>
      </w:r>
    </w:p>
    <w:p w:rsidR="001F2EE9" w:rsidRPr="001F2EE9" w:rsidRDefault="001F2EE9" w:rsidP="001F2EE9">
      <w:pPr>
        <w:spacing w:after="200"/>
        <w:ind w:right="283" w:firstLine="709"/>
        <w:jc w:val="both"/>
        <w:rPr>
          <w:color w:val="010000"/>
          <w:szCs w:val="19"/>
        </w:rPr>
      </w:pPr>
      <w:r w:rsidRPr="001F2EE9">
        <w:rPr>
          <w:color w:val="010000"/>
          <w:szCs w:val="19"/>
        </w:rPr>
        <w:t>12. Parti Genel Merkezinin 2014 yılı defter kayıtları ve gelir belgeleri üzerinde yapılan incelemede gelirlerin 2820 sayılı Kanun’a uygun olarak sağlandığı sonucuna varılmıştır.</w:t>
      </w:r>
    </w:p>
    <w:p w:rsidR="001F2EE9" w:rsidRPr="001F2EE9" w:rsidRDefault="001F2EE9" w:rsidP="001F2EE9">
      <w:pPr>
        <w:spacing w:after="200"/>
        <w:ind w:right="283" w:firstLine="709"/>
        <w:jc w:val="both"/>
        <w:rPr>
          <w:b/>
          <w:color w:val="010000"/>
          <w:szCs w:val="22"/>
        </w:rPr>
      </w:pPr>
      <w:r w:rsidRPr="001F2EE9">
        <w:rPr>
          <w:b/>
          <w:color w:val="010000"/>
          <w:szCs w:val="22"/>
        </w:rPr>
        <w:t>B- Giderlerin İncelenmesi</w:t>
      </w:r>
    </w:p>
    <w:p w:rsidR="001F2EE9" w:rsidRPr="001F2EE9" w:rsidRDefault="001F2EE9" w:rsidP="001F2EE9">
      <w:pPr>
        <w:spacing w:after="200"/>
        <w:ind w:right="283" w:firstLine="709"/>
        <w:jc w:val="both"/>
        <w:rPr>
          <w:b/>
          <w:color w:val="010000"/>
          <w:szCs w:val="22"/>
        </w:rPr>
      </w:pPr>
      <w:r w:rsidRPr="001F2EE9">
        <w:rPr>
          <w:b/>
          <w:color w:val="010000"/>
          <w:szCs w:val="22"/>
        </w:rPr>
        <w:t>Genel Merkez Giderleri</w:t>
      </w:r>
    </w:p>
    <w:p w:rsidR="001F2EE9" w:rsidRPr="001F2EE9" w:rsidRDefault="001F2EE9" w:rsidP="001F2EE9">
      <w:pPr>
        <w:spacing w:after="200"/>
        <w:ind w:right="283" w:firstLine="709"/>
        <w:jc w:val="both"/>
        <w:rPr>
          <w:color w:val="010000"/>
          <w:szCs w:val="19"/>
        </w:rPr>
      </w:pPr>
      <w:r w:rsidRPr="001F2EE9">
        <w:rPr>
          <w:color w:val="010000"/>
          <w:szCs w:val="19"/>
        </w:rPr>
        <w:t>13. Parti Genel Merkezinin 2014 yılı giderleri toplamı 600,00 TL olup, bunun tamamı kira giderlerinden oluşmaktadır.</w:t>
      </w:r>
      <w:r w:rsidRPr="001F2EE9">
        <w:rPr>
          <w:color w:val="010000"/>
          <w:szCs w:val="19"/>
        </w:rPr>
        <w:t xml:space="preserve"> </w:t>
      </w:r>
    </w:p>
    <w:p w:rsidR="001F2EE9" w:rsidRPr="001F2EE9" w:rsidRDefault="001F2EE9" w:rsidP="001F2EE9">
      <w:pPr>
        <w:spacing w:after="200"/>
        <w:ind w:right="283" w:firstLine="709"/>
        <w:jc w:val="both"/>
        <w:rPr>
          <w:color w:val="010000"/>
          <w:szCs w:val="19"/>
        </w:rPr>
      </w:pPr>
      <w:r w:rsidRPr="001F2EE9">
        <w:rPr>
          <w:color w:val="010000"/>
          <w:szCs w:val="19"/>
        </w:rPr>
        <w:t>14. Parti Genel Merkezinin 2014 yılı gider belgeleri üzerinde yapılan incelemede giderlerin 2820 sayılı Kanun’a uygun olarak gerçekleştirildiği sonucuna varılmıştır.</w:t>
      </w:r>
    </w:p>
    <w:p w:rsidR="001F2EE9" w:rsidRPr="001F2EE9" w:rsidRDefault="001F2EE9" w:rsidP="001F2EE9">
      <w:pPr>
        <w:spacing w:after="200"/>
        <w:ind w:right="283" w:firstLine="709"/>
        <w:jc w:val="both"/>
        <w:rPr>
          <w:b/>
          <w:bCs/>
          <w:color w:val="010000"/>
          <w:szCs w:val="22"/>
        </w:rPr>
      </w:pPr>
      <w:r w:rsidRPr="001F2EE9">
        <w:rPr>
          <w:b/>
          <w:bCs/>
          <w:color w:val="010000"/>
          <w:szCs w:val="22"/>
        </w:rPr>
        <w:t>C- Parti Mallarının İncelenmesi</w:t>
      </w:r>
    </w:p>
    <w:p w:rsidR="001F2EE9" w:rsidRPr="001F2EE9" w:rsidRDefault="001F2EE9" w:rsidP="001F2EE9">
      <w:pPr>
        <w:spacing w:after="200"/>
        <w:ind w:right="283" w:firstLine="709"/>
        <w:jc w:val="both"/>
        <w:rPr>
          <w:color w:val="010000"/>
          <w:szCs w:val="19"/>
        </w:rPr>
      </w:pPr>
      <w:r w:rsidRPr="001F2EE9">
        <w:rPr>
          <w:color w:val="010000"/>
          <w:szCs w:val="19"/>
        </w:rPr>
        <w:t>15. Gönül Birliği Yeşiller Partisinin sunmuş olduğu defter ve belgeler üzerinde yapılan incelemelerde Partinin 2014 yılında herhangi bir taşınır ve taşınmaz mal ile menkul kıymet ve hak ediniminde bulunmadığı tespit edilmiştir.</w:t>
      </w:r>
    </w:p>
    <w:p w:rsidR="001F2EE9" w:rsidRPr="001F2EE9" w:rsidRDefault="001F2EE9" w:rsidP="001F2EE9">
      <w:pPr>
        <w:spacing w:after="200"/>
        <w:ind w:right="283" w:firstLine="709"/>
        <w:jc w:val="both"/>
        <w:rPr>
          <w:color w:val="010000"/>
          <w:szCs w:val="22"/>
        </w:rPr>
      </w:pPr>
      <w:r w:rsidRPr="001F2EE9">
        <w:rPr>
          <w:b/>
          <w:color w:val="010000"/>
          <w:szCs w:val="22"/>
        </w:rPr>
        <w:t>IV- SONUÇ</w:t>
      </w:r>
    </w:p>
    <w:p w:rsidR="001F2EE9" w:rsidRPr="001F2EE9" w:rsidRDefault="001F2EE9" w:rsidP="001F2EE9">
      <w:pPr>
        <w:spacing w:after="200"/>
        <w:ind w:right="283" w:firstLine="709"/>
        <w:jc w:val="both"/>
        <w:rPr>
          <w:color w:val="010000"/>
          <w:szCs w:val="19"/>
        </w:rPr>
      </w:pPr>
      <w:r w:rsidRPr="001F2EE9">
        <w:rPr>
          <w:color w:val="010000"/>
          <w:szCs w:val="19"/>
        </w:rPr>
        <w:t>Gönül Birliği Yeşiller Partisinin 2014 yılı kesin hesabının incelenmesi sonucunda;</w:t>
      </w:r>
    </w:p>
    <w:p w:rsidR="001F2EE9" w:rsidRPr="001F2EE9" w:rsidRDefault="001F2EE9" w:rsidP="001F2EE9">
      <w:pPr>
        <w:spacing w:after="200"/>
        <w:ind w:right="283" w:firstLine="709"/>
        <w:jc w:val="both"/>
        <w:rPr>
          <w:color w:val="010000"/>
          <w:szCs w:val="19"/>
        </w:rPr>
      </w:pPr>
      <w:r w:rsidRPr="001F2EE9">
        <w:rPr>
          <w:color w:val="010000"/>
          <w:szCs w:val="19"/>
        </w:rPr>
        <w:lastRenderedPageBreak/>
        <w:t>1- Partinin 2014 yılı kesin hesabında gösterilen 502,87 TL gelir ve 600,00 TL gider toplamının eldeki bilgi ve belgelere göre doğru, denk ve 2820 sayılı Siyasi Partiler Kanunu’na uygun olduğuna,</w:t>
      </w:r>
    </w:p>
    <w:p w:rsidR="001F2EE9" w:rsidRPr="001F2EE9" w:rsidRDefault="001F2EE9" w:rsidP="001F2EE9">
      <w:pPr>
        <w:spacing w:after="200"/>
        <w:ind w:right="283" w:firstLine="709"/>
        <w:jc w:val="both"/>
        <w:rPr>
          <w:color w:val="010000"/>
          <w:szCs w:val="19"/>
        </w:rPr>
      </w:pPr>
      <w:r w:rsidRPr="001F2EE9">
        <w:rPr>
          <w:color w:val="010000"/>
          <w:szCs w:val="19"/>
        </w:rPr>
        <w:t>2- Anayasa Mahkemesine, istenen bilgilerin istendiği sürede verilmemesi nedeniyle, Parti sorumluları hakkında 2820 sayılı Kanun’un 111. maddesinin birinci fıkrasının (b) bendi uyarınca yasal işlem yapılması için Ankara Cumhuriyet Başsavcılığına suç duyurusunda bulunulmasına,</w:t>
      </w:r>
    </w:p>
    <w:p w:rsidR="001F2EE9" w:rsidRPr="001F2EE9" w:rsidRDefault="001F2EE9" w:rsidP="001F2EE9">
      <w:pPr>
        <w:spacing w:after="200"/>
        <w:ind w:right="283" w:firstLine="709"/>
        <w:jc w:val="both"/>
        <w:rPr>
          <w:color w:val="010000"/>
          <w:szCs w:val="19"/>
        </w:rPr>
      </w:pPr>
      <w:r w:rsidRPr="001F2EE9">
        <w:rPr>
          <w:color w:val="010000"/>
          <w:szCs w:val="19"/>
        </w:rPr>
        <w:t>26.5.2016 tarihinde OYBİRLİĞİYLE karar verildi.</w:t>
      </w:r>
    </w:p>
    <w:p w:rsidR="001F2EE9" w:rsidRDefault="001F2EE9">
      <w:bookmarkStart w:id="0" w:name="_GoBack"/>
      <w:bookmarkEnd w:id="0"/>
    </w:p>
    <w:tbl>
      <w:tblPr>
        <w:tblW w:w="5000" w:type="pct"/>
        <w:jc w:val="center"/>
        <w:tblCellMar>
          <w:left w:w="70" w:type="dxa"/>
          <w:right w:w="70" w:type="dxa"/>
        </w:tblCellMar>
        <w:tblLook w:val="00A0" w:firstRow="1" w:lastRow="0" w:firstColumn="1" w:lastColumn="0" w:noHBand="0" w:noVBand="0"/>
      </w:tblPr>
      <w:tblGrid>
        <w:gridCol w:w="2227"/>
        <w:gridCol w:w="775"/>
        <w:gridCol w:w="2130"/>
        <w:gridCol w:w="1549"/>
        <w:gridCol w:w="1743"/>
        <w:gridCol w:w="1356"/>
      </w:tblGrid>
      <w:tr w:rsidR="001F2EE9" w:rsidRPr="001F2EE9" w:rsidTr="001F2EE9">
        <w:trPr>
          <w:jc w:val="center"/>
        </w:trPr>
        <w:tc>
          <w:tcPr>
            <w:tcW w:w="1535" w:type="pct"/>
            <w:gridSpan w:val="2"/>
            <w:hideMark/>
          </w:tcPr>
          <w:p w:rsidR="001F2EE9" w:rsidRPr="001F2EE9" w:rsidRDefault="001F2EE9" w:rsidP="001F2EE9">
            <w:pPr>
              <w:overflowPunct w:val="0"/>
              <w:autoSpaceDE w:val="0"/>
              <w:autoSpaceDN w:val="0"/>
              <w:adjustRightInd w:val="0"/>
              <w:spacing w:before="240" w:after="240"/>
              <w:jc w:val="center"/>
              <w:rPr>
                <w:color w:val="010000"/>
                <w:szCs w:val="19"/>
              </w:rPr>
            </w:pPr>
            <w:r w:rsidRPr="001F2EE9">
              <w:rPr>
                <w:color w:val="010000"/>
                <w:szCs w:val="19"/>
              </w:rPr>
              <w:t>Başkanvekili</w:t>
            </w:r>
          </w:p>
          <w:p w:rsidR="001F2EE9" w:rsidRPr="001F2EE9" w:rsidRDefault="001F2EE9" w:rsidP="001F2EE9">
            <w:pPr>
              <w:overflowPunct w:val="0"/>
              <w:autoSpaceDE w:val="0"/>
              <w:autoSpaceDN w:val="0"/>
              <w:adjustRightInd w:val="0"/>
              <w:spacing w:before="240" w:after="240"/>
              <w:jc w:val="center"/>
              <w:rPr>
                <w:color w:val="010000"/>
                <w:szCs w:val="19"/>
              </w:rPr>
            </w:pPr>
            <w:r w:rsidRPr="001F2EE9">
              <w:rPr>
                <w:color w:val="010000"/>
                <w:szCs w:val="19"/>
              </w:rPr>
              <w:t>Burhan ÜSTÜN</w:t>
            </w:r>
          </w:p>
        </w:tc>
        <w:tc>
          <w:tcPr>
            <w:tcW w:w="1881" w:type="pct"/>
            <w:gridSpan w:val="2"/>
            <w:hideMark/>
          </w:tcPr>
          <w:p w:rsidR="001F2EE9" w:rsidRPr="001F2EE9" w:rsidRDefault="001F2EE9" w:rsidP="001F2EE9">
            <w:pPr>
              <w:overflowPunct w:val="0"/>
              <w:autoSpaceDE w:val="0"/>
              <w:autoSpaceDN w:val="0"/>
              <w:adjustRightInd w:val="0"/>
              <w:spacing w:before="240" w:after="240"/>
              <w:jc w:val="center"/>
              <w:rPr>
                <w:color w:val="010000"/>
                <w:szCs w:val="19"/>
              </w:rPr>
            </w:pPr>
            <w:r w:rsidRPr="001F2EE9">
              <w:rPr>
                <w:color w:val="010000"/>
                <w:szCs w:val="19"/>
              </w:rPr>
              <w:t>Başkanvekili</w:t>
            </w:r>
          </w:p>
          <w:p w:rsidR="001F2EE9" w:rsidRPr="001F2EE9" w:rsidRDefault="001F2EE9" w:rsidP="001F2EE9">
            <w:pPr>
              <w:overflowPunct w:val="0"/>
              <w:autoSpaceDE w:val="0"/>
              <w:autoSpaceDN w:val="0"/>
              <w:adjustRightInd w:val="0"/>
              <w:spacing w:before="240" w:after="240"/>
              <w:jc w:val="center"/>
              <w:rPr>
                <w:color w:val="010000"/>
                <w:szCs w:val="19"/>
              </w:rPr>
            </w:pPr>
            <w:r w:rsidRPr="001F2EE9">
              <w:rPr>
                <w:color w:val="010000"/>
                <w:szCs w:val="19"/>
              </w:rPr>
              <w:t>Engin YILDIRIM</w:t>
            </w:r>
          </w:p>
        </w:tc>
        <w:tc>
          <w:tcPr>
            <w:tcW w:w="1584" w:type="pct"/>
            <w:gridSpan w:val="2"/>
            <w:hideMark/>
          </w:tcPr>
          <w:p w:rsidR="001F2EE9" w:rsidRPr="001F2EE9" w:rsidRDefault="001F2EE9" w:rsidP="001F2EE9">
            <w:pPr>
              <w:overflowPunct w:val="0"/>
              <w:autoSpaceDE w:val="0"/>
              <w:autoSpaceDN w:val="0"/>
              <w:adjustRightInd w:val="0"/>
              <w:spacing w:before="240" w:after="240"/>
              <w:jc w:val="center"/>
              <w:rPr>
                <w:color w:val="010000"/>
                <w:szCs w:val="19"/>
              </w:rPr>
            </w:pPr>
            <w:r w:rsidRPr="001F2EE9">
              <w:rPr>
                <w:color w:val="010000"/>
                <w:szCs w:val="19"/>
              </w:rPr>
              <w:t>Üye</w:t>
            </w:r>
          </w:p>
          <w:p w:rsidR="001F2EE9" w:rsidRPr="001F2EE9" w:rsidRDefault="001F2EE9" w:rsidP="001F2EE9">
            <w:pPr>
              <w:overflowPunct w:val="0"/>
              <w:autoSpaceDE w:val="0"/>
              <w:autoSpaceDN w:val="0"/>
              <w:adjustRightInd w:val="0"/>
              <w:spacing w:before="240" w:after="240"/>
              <w:jc w:val="center"/>
              <w:rPr>
                <w:color w:val="010000"/>
                <w:szCs w:val="19"/>
              </w:rPr>
            </w:pPr>
            <w:r w:rsidRPr="001F2EE9">
              <w:rPr>
                <w:color w:val="010000"/>
                <w:szCs w:val="19"/>
              </w:rPr>
              <w:t>Serdar ÖZGÜLDÜR</w:t>
            </w:r>
          </w:p>
        </w:tc>
      </w:tr>
      <w:tr w:rsidR="001F2EE9" w:rsidRPr="001F2EE9" w:rsidTr="001F2EE9">
        <w:trPr>
          <w:jc w:val="center"/>
        </w:trPr>
        <w:tc>
          <w:tcPr>
            <w:tcW w:w="1535" w:type="pct"/>
            <w:gridSpan w:val="2"/>
            <w:hideMark/>
          </w:tcPr>
          <w:p w:rsidR="001F2EE9" w:rsidRPr="001F2EE9" w:rsidRDefault="001F2EE9" w:rsidP="001F2EE9">
            <w:pPr>
              <w:overflowPunct w:val="0"/>
              <w:autoSpaceDE w:val="0"/>
              <w:autoSpaceDN w:val="0"/>
              <w:adjustRightInd w:val="0"/>
              <w:spacing w:before="240" w:after="240"/>
              <w:jc w:val="center"/>
              <w:rPr>
                <w:color w:val="010000"/>
                <w:szCs w:val="19"/>
              </w:rPr>
            </w:pPr>
            <w:r w:rsidRPr="001F2EE9">
              <w:rPr>
                <w:color w:val="010000"/>
                <w:szCs w:val="19"/>
              </w:rPr>
              <w:t>Üye</w:t>
            </w:r>
          </w:p>
          <w:p w:rsidR="001F2EE9" w:rsidRPr="001F2EE9" w:rsidRDefault="001F2EE9" w:rsidP="001F2EE9">
            <w:pPr>
              <w:overflowPunct w:val="0"/>
              <w:autoSpaceDE w:val="0"/>
              <w:autoSpaceDN w:val="0"/>
              <w:adjustRightInd w:val="0"/>
              <w:spacing w:before="240" w:after="240"/>
              <w:jc w:val="center"/>
              <w:rPr>
                <w:color w:val="010000"/>
                <w:szCs w:val="19"/>
              </w:rPr>
            </w:pPr>
            <w:proofErr w:type="spellStart"/>
            <w:r w:rsidRPr="001F2EE9">
              <w:rPr>
                <w:color w:val="010000"/>
                <w:szCs w:val="19"/>
              </w:rPr>
              <w:t>Serruh</w:t>
            </w:r>
            <w:proofErr w:type="spellEnd"/>
            <w:r w:rsidRPr="001F2EE9">
              <w:rPr>
                <w:color w:val="010000"/>
                <w:szCs w:val="19"/>
              </w:rPr>
              <w:t xml:space="preserve"> KALELİ </w:t>
            </w:r>
          </w:p>
        </w:tc>
        <w:tc>
          <w:tcPr>
            <w:tcW w:w="1881" w:type="pct"/>
            <w:gridSpan w:val="2"/>
            <w:hideMark/>
          </w:tcPr>
          <w:p w:rsidR="001F2EE9" w:rsidRPr="001F2EE9" w:rsidRDefault="001F2EE9" w:rsidP="001F2EE9">
            <w:pPr>
              <w:overflowPunct w:val="0"/>
              <w:autoSpaceDE w:val="0"/>
              <w:autoSpaceDN w:val="0"/>
              <w:adjustRightInd w:val="0"/>
              <w:spacing w:before="240" w:after="240"/>
              <w:jc w:val="center"/>
              <w:rPr>
                <w:color w:val="010000"/>
                <w:szCs w:val="19"/>
              </w:rPr>
            </w:pPr>
            <w:r w:rsidRPr="001F2EE9">
              <w:rPr>
                <w:color w:val="010000"/>
                <w:szCs w:val="19"/>
              </w:rPr>
              <w:t>Üye</w:t>
            </w:r>
          </w:p>
          <w:p w:rsidR="001F2EE9" w:rsidRPr="001F2EE9" w:rsidRDefault="001F2EE9" w:rsidP="001F2EE9">
            <w:pPr>
              <w:overflowPunct w:val="0"/>
              <w:autoSpaceDE w:val="0"/>
              <w:autoSpaceDN w:val="0"/>
              <w:adjustRightInd w:val="0"/>
              <w:spacing w:before="240" w:after="240"/>
              <w:jc w:val="center"/>
              <w:rPr>
                <w:color w:val="010000"/>
                <w:szCs w:val="19"/>
              </w:rPr>
            </w:pPr>
            <w:r w:rsidRPr="001F2EE9">
              <w:rPr>
                <w:color w:val="010000"/>
                <w:szCs w:val="19"/>
              </w:rPr>
              <w:t xml:space="preserve"> Osman </w:t>
            </w:r>
            <w:proofErr w:type="spellStart"/>
            <w:r w:rsidRPr="001F2EE9">
              <w:rPr>
                <w:color w:val="010000"/>
                <w:szCs w:val="19"/>
              </w:rPr>
              <w:t>Alifeyyaz</w:t>
            </w:r>
            <w:proofErr w:type="spellEnd"/>
            <w:r w:rsidRPr="001F2EE9">
              <w:rPr>
                <w:color w:val="010000"/>
                <w:szCs w:val="19"/>
              </w:rPr>
              <w:t xml:space="preserve"> PAKSÜT</w:t>
            </w:r>
          </w:p>
        </w:tc>
        <w:tc>
          <w:tcPr>
            <w:tcW w:w="1584" w:type="pct"/>
            <w:gridSpan w:val="2"/>
            <w:hideMark/>
          </w:tcPr>
          <w:p w:rsidR="001F2EE9" w:rsidRPr="001F2EE9" w:rsidRDefault="001F2EE9" w:rsidP="001F2EE9">
            <w:pPr>
              <w:overflowPunct w:val="0"/>
              <w:autoSpaceDE w:val="0"/>
              <w:autoSpaceDN w:val="0"/>
              <w:adjustRightInd w:val="0"/>
              <w:spacing w:before="240" w:after="240"/>
              <w:jc w:val="center"/>
              <w:rPr>
                <w:color w:val="010000"/>
                <w:szCs w:val="19"/>
              </w:rPr>
            </w:pPr>
            <w:r w:rsidRPr="001F2EE9">
              <w:rPr>
                <w:color w:val="010000"/>
                <w:szCs w:val="19"/>
              </w:rPr>
              <w:t xml:space="preserve">Üye </w:t>
            </w:r>
          </w:p>
          <w:p w:rsidR="001F2EE9" w:rsidRPr="001F2EE9" w:rsidRDefault="001F2EE9" w:rsidP="001F2EE9">
            <w:pPr>
              <w:overflowPunct w:val="0"/>
              <w:autoSpaceDE w:val="0"/>
              <w:autoSpaceDN w:val="0"/>
              <w:adjustRightInd w:val="0"/>
              <w:spacing w:before="240" w:after="240"/>
              <w:jc w:val="center"/>
              <w:rPr>
                <w:color w:val="010000"/>
                <w:szCs w:val="19"/>
              </w:rPr>
            </w:pPr>
            <w:r w:rsidRPr="001F2EE9">
              <w:rPr>
                <w:color w:val="010000"/>
                <w:szCs w:val="19"/>
              </w:rPr>
              <w:t xml:space="preserve"> </w:t>
            </w:r>
            <w:r w:rsidRPr="001F2EE9">
              <w:rPr>
                <w:color w:val="010000"/>
                <w:szCs w:val="19"/>
              </w:rPr>
              <w:t>Alparslan ALTAN</w:t>
            </w:r>
          </w:p>
        </w:tc>
      </w:tr>
      <w:tr w:rsidR="001F2EE9" w:rsidRPr="001F2EE9" w:rsidTr="001F2EE9">
        <w:trPr>
          <w:jc w:val="center"/>
        </w:trPr>
        <w:tc>
          <w:tcPr>
            <w:tcW w:w="1535" w:type="pct"/>
            <w:gridSpan w:val="2"/>
            <w:hideMark/>
          </w:tcPr>
          <w:p w:rsidR="001F2EE9" w:rsidRPr="001F2EE9" w:rsidRDefault="001F2EE9" w:rsidP="001F2EE9">
            <w:pPr>
              <w:overflowPunct w:val="0"/>
              <w:autoSpaceDE w:val="0"/>
              <w:autoSpaceDN w:val="0"/>
              <w:adjustRightInd w:val="0"/>
              <w:spacing w:before="240" w:after="240"/>
              <w:jc w:val="center"/>
              <w:rPr>
                <w:color w:val="010000"/>
                <w:szCs w:val="19"/>
              </w:rPr>
            </w:pPr>
            <w:r w:rsidRPr="001F2EE9">
              <w:rPr>
                <w:color w:val="010000"/>
                <w:szCs w:val="19"/>
              </w:rPr>
              <w:t>Üye</w:t>
            </w:r>
          </w:p>
          <w:p w:rsidR="001F2EE9" w:rsidRPr="001F2EE9" w:rsidRDefault="001F2EE9" w:rsidP="001F2EE9">
            <w:pPr>
              <w:overflowPunct w:val="0"/>
              <w:autoSpaceDE w:val="0"/>
              <w:autoSpaceDN w:val="0"/>
              <w:adjustRightInd w:val="0"/>
              <w:spacing w:before="240" w:after="240"/>
              <w:jc w:val="center"/>
              <w:rPr>
                <w:color w:val="010000"/>
                <w:szCs w:val="19"/>
              </w:rPr>
            </w:pPr>
            <w:r w:rsidRPr="001F2EE9">
              <w:rPr>
                <w:color w:val="010000"/>
                <w:szCs w:val="19"/>
              </w:rPr>
              <w:t>Celal Mümtaz AKINCI</w:t>
            </w:r>
          </w:p>
        </w:tc>
        <w:tc>
          <w:tcPr>
            <w:tcW w:w="1881" w:type="pct"/>
            <w:gridSpan w:val="2"/>
            <w:hideMark/>
          </w:tcPr>
          <w:p w:rsidR="001F2EE9" w:rsidRPr="001F2EE9" w:rsidRDefault="001F2EE9" w:rsidP="001F2EE9">
            <w:pPr>
              <w:overflowPunct w:val="0"/>
              <w:autoSpaceDE w:val="0"/>
              <w:autoSpaceDN w:val="0"/>
              <w:adjustRightInd w:val="0"/>
              <w:spacing w:before="240" w:after="240"/>
              <w:jc w:val="center"/>
              <w:rPr>
                <w:color w:val="010000"/>
                <w:szCs w:val="19"/>
              </w:rPr>
            </w:pPr>
            <w:r w:rsidRPr="001F2EE9">
              <w:rPr>
                <w:color w:val="010000"/>
                <w:szCs w:val="19"/>
              </w:rPr>
              <w:t>Üye</w:t>
            </w:r>
          </w:p>
          <w:p w:rsidR="001F2EE9" w:rsidRPr="001F2EE9" w:rsidRDefault="001F2EE9" w:rsidP="001F2EE9">
            <w:pPr>
              <w:overflowPunct w:val="0"/>
              <w:autoSpaceDE w:val="0"/>
              <w:autoSpaceDN w:val="0"/>
              <w:adjustRightInd w:val="0"/>
              <w:spacing w:before="240" w:after="240"/>
              <w:jc w:val="center"/>
              <w:rPr>
                <w:color w:val="010000"/>
                <w:szCs w:val="19"/>
              </w:rPr>
            </w:pPr>
            <w:r w:rsidRPr="001F2EE9">
              <w:rPr>
                <w:color w:val="010000"/>
                <w:szCs w:val="19"/>
              </w:rPr>
              <w:t>Erdal TERCAN</w:t>
            </w:r>
          </w:p>
        </w:tc>
        <w:tc>
          <w:tcPr>
            <w:tcW w:w="1584" w:type="pct"/>
            <w:gridSpan w:val="2"/>
            <w:hideMark/>
          </w:tcPr>
          <w:p w:rsidR="001F2EE9" w:rsidRPr="001F2EE9" w:rsidRDefault="001F2EE9" w:rsidP="001F2EE9">
            <w:pPr>
              <w:overflowPunct w:val="0"/>
              <w:autoSpaceDE w:val="0"/>
              <w:autoSpaceDN w:val="0"/>
              <w:adjustRightInd w:val="0"/>
              <w:spacing w:before="240" w:after="240"/>
              <w:jc w:val="center"/>
              <w:rPr>
                <w:color w:val="010000"/>
                <w:szCs w:val="19"/>
              </w:rPr>
            </w:pPr>
            <w:r w:rsidRPr="001F2EE9">
              <w:rPr>
                <w:color w:val="010000"/>
                <w:szCs w:val="19"/>
              </w:rPr>
              <w:t>Üye</w:t>
            </w:r>
          </w:p>
          <w:p w:rsidR="001F2EE9" w:rsidRPr="001F2EE9" w:rsidRDefault="001F2EE9" w:rsidP="001F2EE9">
            <w:pPr>
              <w:overflowPunct w:val="0"/>
              <w:autoSpaceDE w:val="0"/>
              <w:autoSpaceDN w:val="0"/>
              <w:adjustRightInd w:val="0"/>
              <w:spacing w:before="240" w:after="240"/>
              <w:jc w:val="center"/>
              <w:rPr>
                <w:color w:val="010000"/>
                <w:szCs w:val="19"/>
              </w:rPr>
            </w:pPr>
            <w:r w:rsidRPr="001F2EE9">
              <w:rPr>
                <w:color w:val="010000"/>
                <w:szCs w:val="19"/>
              </w:rPr>
              <w:t>Muammer TOPAL</w:t>
            </w:r>
            <w:r w:rsidRPr="001F2EE9">
              <w:rPr>
                <w:color w:val="010000"/>
                <w:szCs w:val="19"/>
              </w:rPr>
              <w:t xml:space="preserve"> </w:t>
            </w:r>
          </w:p>
        </w:tc>
      </w:tr>
      <w:tr w:rsidR="001F2EE9" w:rsidRPr="001F2EE9" w:rsidTr="001F2EE9">
        <w:trPr>
          <w:gridBefore w:val="1"/>
          <w:gridAfter w:val="1"/>
          <w:wBefore w:w="1139" w:type="pct"/>
          <w:wAfter w:w="693" w:type="pct"/>
          <w:jc w:val="center"/>
        </w:trPr>
        <w:tc>
          <w:tcPr>
            <w:tcW w:w="1485" w:type="pct"/>
            <w:gridSpan w:val="2"/>
            <w:hideMark/>
          </w:tcPr>
          <w:p w:rsidR="001F2EE9" w:rsidRPr="001F2EE9" w:rsidRDefault="001F2EE9" w:rsidP="001F2EE9">
            <w:pPr>
              <w:overflowPunct w:val="0"/>
              <w:autoSpaceDE w:val="0"/>
              <w:autoSpaceDN w:val="0"/>
              <w:adjustRightInd w:val="0"/>
              <w:spacing w:before="240" w:after="240"/>
              <w:jc w:val="center"/>
              <w:rPr>
                <w:color w:val="010000"/>
                <w:szCs w:val="19"/>
              </w:rPr>
            </w:pPr>
            <w:r w:rsidRPr="001F2EE9">
              <w:rPr>
                <w:color w:val="010000"/>
                <w:szCs w:val="19"/>
              </w:rPr>
              <w:t>Üye</w:t>
            </w:r>
          </w:p>
          <w:p w:rsidR="001F2EE9" w:rsidRPr="001F2EE9" w:rsidRDefault="001F2EE9" w:rsidP="001F2EE9">
            <w:pPr>
              <w:overflowPunct w:val="0"/>
              <w:autoSpaceDE w:val="0"/>
              <w:autoSpaceDN w:val="0"/>
              <w:adjustRightInd w:val="0"/>
              <w:spacing w:before="240" w:after="240"/>
              <w:jc w:val="center"/>
              <w:rPr>
                <w:color w:val="010000"/>
                <w:szCs w:val="19"/>
              </w:rPr>
            </w:pPr>
            <w:r w:rsidRPr="001F2EE9">
              <w:rPr>
                <w:color w:val="010000"/>
                <w:szCs w:val="19"/>
              </w:rPr>
              <w:t>M. Emin KUZ</w:t>
            </w:r>
          </w:p>
        </w:tc>
        <w:tc>
          <w:tcPr>
            <w:tcW w:w="1683" w:type="pct"/>
            <w:gridSpan w:val="2"/>
            <w:hideMark/>
          </w:tcPr>
          <w:p w:rsidR="001F2EE9" w:rsidRPr="001F2EE9" w:rsidRDefault="001F2EE9" w:rsidP="001F2EE9">
            <w:pPr>
              <w:overflowPunct w:val="0"/>
              <w:autoSpaceDE w:val="0"/>
              <w:autoSpaceDN w:val="0"/>
              <w:adjustRightInd w:val="0"/>
              <w:spacing w:before="240" w:after="240"/>
              <w:jc w:val="center"/>
              <w:rPr>
                <w:color w:val="010000"/>
                <w:szCs w:val="19"/>
              </w:rPr>
            </w:pPr>
            <w:r w:rsidRPr="001F2EE9">
              <w:rPr>
                <w:color w:val="010000"/>
                <w:szCs w:val="19"/>
              </w:rPr>
              <w:t>Üye</w:t>
            </w:r>
          </w:p>
          <w:p w:rsidR="001F2EE9" w:rsidRPr="001F2EE9" w:rsidRDefault="001F2EE9" w:rsidP="001F2EE9">
            <w:pPr>
              <w:overflowPunct w:val="0"/>
              <w:autoSpaceDE w:val="0"/>
              <w:autoSpaceDN w:val="0"/>
              <w:adjustRightInd w:val="0"/>
              <w:spacing w:before="240" w:after="240"/>
              <w:jc w:val="center"/>
              <w:rPr>
                <w:color w:val="010000"/>
                <w:szCs w:val="19"/>
              </w:rPr>
            </w:pPr>
            <w:r w:rsidRPr="001F2EE9">
              <w:rPr>
                <w:color w:val="010000"/>
                <w:szCs w:val="19"/>
              </w:rPr>
              <w:t>Hasan Tahsin GÖKCAN</w:t>
            </w:r>
          </w:p>
        </w:tc>
      </w:tr>
      <w:tr w:rsidR="001F2EE9" w:rsidRPr="001F2EE9" w:rsidTr="001F2EE9">
        <w:trPr>
          <w:gridBefore w:val="1"/>
          <w:gridAfter w:val="1"/>
          <w:wBefore w:w="1139" w:type="pct"/>
          <w:wAfter w:w="693" w:type="pct"/>
          <w:jc w:val="center"/>
        </w:trPr>
        <w:tc>
          <w:tcPr>
            <w:tcW w:w="1485" w:type="pct"/>
            <w:gridSpan w:val="2"/>
            <w:hideMark/>
          </w:tcPr>
          <w:p w:rsidR="001F2EE9" w:rsidRPr="001F2EE9" w:rsidRDefault="001F2EE9" w:rsidP="001F2EE9">
            <w:pPr>
              <w:overflowPunct w:val="0"/>
              <w:autoSpaceDE w:val="0"/>
              <w:autoSpaceDN w:val="0"/>
              <w:adjustRightInd w:val="0"/>
              <w:spacing w:before="240" w:after="240"/>
              <w:jc w:val="center"/>
              <w:rPr>
                <w:color w:val="010000"/>
                <w:szCs w:val="19"/>
              </w:rPr>
            </w:pPr>
            <w:r w:rsidRPr="001F2EE9">
              <w:rPr>
                <w:color w:val="010000"/>
                <w:szCs w:val="19"/>
              </w:rPr>
              <w:t>Üye</w:t>
            </w:r>
          </w:p>
          <w:p w:rsidR="001F2EE9" w:rsidRPr="001F2EE9" w:rsidRDefault="001F2EE9" w:rsidP="001F2EE9">
            <w:pPr>
              <w:overflowPunct w:val="0"/>
              <w:autoSpaceDE w:val="0"/>
              <w:autoSpaceDN w:val="0"/>
              <w:adjustRightInd w:val="0"/>
              <w:spacing w:before="240" w:after="240"/>
              <w:jc w:val="center"/>
              <w:rPr>
                <w:color w:val="010000"/>
                <w:szCs w:val="19"/>
              </w:rPr>
            </w:pPr>
            <w:r w:rsidRPr="001F2EE9">
              <w:rPr>
                <w:color w:val="010000"/>
                <w:szCs w:val="19"/>
              </w:rPr>
              <w:t>Kadir ÖZKAYA</w:t>
            </w:r>
          </w:p>
        </w:tc>
        <w:tc>
          <w:tcPr>
            <w:tcW w:w="1683" w:type="pct"/>
            <w:gridSpan w:val="2"/>
            <w:hideMark/>
          </w:tcPr>
          <w:p w:rsidR="001F2EE9" w:rsidRPr="001F2EE9" w:rsidRDefault="001F2EE9" w:rsidP="001F2EE9">
            <w:pPr>
              <w:overflowPunct w:val="0"/>
              <w:autoSpaceDE w:val="0"/>
              <w:autoSpaceDN w:val="0"/>
              <w:adjustRightInd w:val="0"/>
              <w:spacing w:before="240" w:after="240"/>
              <w:jc w:val="center"/>
              <w:rPr>
                <w:color w:val="010000"/>
                <w:szCs w:val="19"/>
              </w:rPr>
            </w:pPr>
            <w:r w:rsidRPr="001F2EE9">
              <w:rPr>
                <w:color w:val="010000"/>
                <w:szCs w:val="19"/>
              </w:rPr>
              <w:t>Üye</w:t>
            </w:r>
          </w:p>
          <w:p w:rsidR="001F2EE9" w:rsidRPr="001F2EE9" w:rsidRDefault="001F2EE9" w:rsidP="001F2EE9">
            <w:pPr>
              <w:overflowPunct w:val="0"/>
              <w:autoSpaceDE w:val="0"/>
              <w:autoSpaceDN w:val="0"/>
              <w:adjustRightInd w:val="0"/>
              <w:spacing w:before="240" w:after="240"/>
              <w:jc w:val="center"/>
              <w:rPr>
                <w:color w:val="010000"/>
                <w:szCs w:val="19"/>
              </w:rPr>
            </w:pPr>
            <w:r w:rsidRPr="001F2EE9">
              <w:rPr>
                <w:color w:val="010000"/>
                <w:szCs w:val="19"/>
              </w:rPr>
              <w:t>Rıdvan GÜLEÇ</w:t>
            </w:r>
          </w:p>
        </w:tc>
      </w:tr>
    </w:tbl>
    <w:p w:rsidR="001F2EE9" w:rsidRPr="001F2EE9" w:rsidRDefault="001F2EE9" w:rsidP="001F2EE9">
      <w:pPr>
        <w:overflowPunct w:val="0"/>
        <w:autoSpaceDE w:val="0"/>
        <w:autoSpaceDN w:val="0"/>
        <w:adjustRightInd w:val="0"/>
        <w:spacing w:after="200"/>
        <w:ind w:right="283" w:firstLine="709"/>
        <w:jc w:val="both"/>
        <w:rPr>
          <w:color w:val="010000"/>
          <w:szCs w:val="19"/>
        </w:rPr>
      </w:pPr>
    </w:p>
    <w:sectPr w:rsidR="001F2EE9" w:rsidRPr="001F2EE9" w:rsidSect="001F2EE9">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45A6A" w:rsidRDefault="00E45A6A" w:rsidP="001F2EE9">
      <w:r>
        <w:separator/>
      </w:r>
    </w:p>
  </w:endnote>
  <w:endnote w:type="continuationSeparator" w:id="0">
    <w:p w:rsidR="00E45A6A" w:rsidRDefault="00E45A6A" w:rsidP="001F2E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2EE9" w:rsidRDefault="001F2EE9" w:rsidP="00416018">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1F2EE9" w:rsidRDefault="001F2EE9" w:rsidP="001F2EE9">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2EE9" w:rsidRPr="001F2EE9" w:rsidRDefault="001F2EE9" w:rsidP="00416018">
    <w:pPr>
      <w:pStyle w:val="AltBilgi"/>
      <w:framePr w:wrap="around" w:vAnchor="text" w:hAnchor="margin" w:xAlign="right" w:y="1"/>
      <w:rPr>
        <w:rStyle w:val="SayfaNumaras"/>
      </w:rPr>
    </w:pPr>
    <w:r w:rsidRPr="001F2EE9">
      <w:rPr>
        <w:rStyle w:val="SayfaNumaras"/>
      </w:rPr>
      <w:fldChar w:fldCharType="begin"/>
    </w:r>
    <w:r w:rsidRPr="001F2EE9">
      <w:rPr>
        <w:rStyle w:val="SayfaNumaras"/>
      </w:rPr>
      <w:instrText xml:space="preserve"> PAGE </w:instrText>
    </w:r>
    <w:r w:rsidRPr="001F2EE9">
      <w:rPr>
        <w:rStyle w:val="SayfaNumaras"/>
      </w:rPr>
      <w:fldChar w:fldCharType="separate"/>
    </w:r>
    <w:r w:rsidRPr="001F2EE9">
      <w:rPr>
        <w:rStyle w:val="SayfaNumaras"/>
        <w:noProof/>
      </w:rPr>
      <w:t>1</w:t>
    </w:r>
    <w:r w:rsidRPr="001F2EE9">
      <w:rPr>
        <w:rStyle w:val="SayfaNumaras"/>
      </w:rPr>
      <w:fldChar w:fldCharType="end"/>
    </w:r>
  </w:p>
  <w:p w:rsidR="001352CC" w:rsidRDefault="00E45A6A" w:rsidP="001F2EE9">
    <w:pPr>
      <w:pStyle w:val="a"/>
      <w:ind w:right="360"/>
      <w:jc w:val="center"/>
    </w:pPr>
  </w:p>
  <w:p w:rsidR="001352CC" w:rsidRDefault="00E45A6A">
    <w:pPr>
      <w:pStyle w:val="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45A6A" w:rsidRDefault="00E45A6A" w:rsidP="001F2EE9">
      <w:r>
        <w:separator/>
      </w:r>
    </w:p>
  </w:footnote>
  <w:footnote w:type="continuationSeparator" w:id="0">
    <w:p w:rsidR="00E45A6A" w:rsidRDefault="00E45A6A" w:rsidP="001F2EE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2EE9" w:rsidRPr="001F2EE9" w:rsidRDefault="001F2EE9" w:rsidP="001F2EE9">
    <w:pPr>
      <w:pStyle w:val="stBilgi"/>
      <w:rPr>
        <w:b/>
      </w:rPr>
    </w:pPr>
    <w:r w:rsidRPr="001F2EE9">
      <w:rPr>
        <w:b/>
      </w:rPr>
      <w:t>Esas Sayısı:2015/67 (Siyasi Parti Mali Denetimi)</w:t>
    </w:r>
  </w:p>
  <w:p w:rsidR="001F2EE9" w:rsidRDefault="001F2EE9" w:rsidP="001F2EE9">
    <w:pPr>
      <w:pStyle w:val="stBilgi"/>
      <w:rPr>
        <w:b/>
      </w:rPr>
    </w:pPr>
    <w:r>
      <w:rPr>
        <w:b/>
      </w:rPr>
      <w:t>Karar Sayısı:2016/18</w:t>
    </w:r>
  </w:p>
  <w:p w:rsidR="001352CC" w:rsidRPr="001F2EE9" w:rsidRDefault="00E45A6A" w:rsidP="001F2EE9">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F2EE9"/>
    <w:rsid w:val="001F2EE9"/>
    <w:rsid w:val="00D12EB3"/>
    <w:rsid w:val="00E45A6A"/>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1799C44-5557-4C76-84A5-2A3BFFEB33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F2EE9"/>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
    <w:basedOn w:val="Normal"/>
    <w:next w:val="AltBilgi"/>
    <w:link w:val="AltbilgiChar"/>
    <w:uiPriority w:val="99"/>
    <w:rsid w:val="001F2EE9"/>
    <w:pPr>
      <w:tabs>
        <w:tab w:val="center" w:pos="4536"/>
        <w:tab w:val="right" w:pos="9072"/>
      </w:tabs>
    </w:pPr>
  </w:style>
  <w:style w:type="character" w:customStyle="1" w:styleId="AltbilgiChar">
    <w:name w:val="Altbilgi Char"/>
    <w:link w:val="a"/>
    <w:uiPriority w:val="99"/>
    <w:rsid w:val="001F2EE9"/>
    <w:rPr>
      <w:rFonts w:ascii="Times New Roman" w:eastAsia="Times New Roman" w:hAnsi="Times New Roman" w:cs="Times New Roman"/>
      <w:sz w:val="24"/>
      <w:szCs w:val="24"/>
      <w:lang w:eastAsia="tr-TR"/>
    </w:rPr>
  </w:style>
  <w:style w:type="paragraph" w:styleId="AltBilgi">
    <w:name w:val="footer"/>
    <w:basedOn w:val="Normal"/>
    <w:link w:val="AltBilgiChar0"/>
    <w:uiPriority w:val="99"/>
    <w:unhideWhenUsed/>
    <w:rsid w:val="001F2EE9"/>
    <w:pPr>
      <w:tabs>
        <w:tab w:val="center" w:pos="4536"/>
        <w:tab w:val="right" w:pos="9072"/>
      </w:tabs>
    </w:pPr>
  </w:style>
  <w:style w:type="character" w:customStyle="1" w:styleId="AltBilgiChar0">
    <w:name w:val="Alt Bilgi Char"/>
    <w:basedOn w:val="VarsaylanParagrafYazTipi"/>
    <w:link w:val="AltBilgi"/>
    <w:uiPriority w:val="99"/>
    <w:rsid w:val="001F2EE9"/>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1F2EE9"/>
    <w:pPr>
      <w:tabs>
        <w:tab w:val="center" w:pos="4536"/>
        <w:tab w:val="right" w:pos="9072"/>
      </w:tabs>
    </w:pPr>
  </w:style>
  <w:style w:type="character" w:customStyle="1" w:styleId="stBilgiChar">
    <w:name w:val="Üst Bilgi Char"/>
    <w:basedOn w:val="VarsaylanParagrafYazTipi"/>
    <w:link w:val="stBilgi"/>
    <w:uiPriority w:val="99"/>
    <w:rsid w:val="001F2EE9"/>
    <w:rPr>
      <w:rFonts w:ascii="Times New Roman" w:eastAsia="Times New Roman" w:hAnsi="Times New Roman" w:cs="Times New Roman"/>
      <w:sz w:val="24"/>
      <w:szCs w:val="24"/>
      <w:lang w:eastAsia="tr-TR"/>
    </w:rPr>
  </w:style>
  <w:style w:type="character" w:styleId="SayfaNumaras">
    <w:name w:val="page number"/>
    <w:basedOn w:val="VarsaylanParagrafYazTipi"/>
    <w:uiPriority w:val="99"/>
    <w:semiHidden/>
    <w:unhideWhenUsed/>
    <w:rsid w:val="001F2EE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906</Words>
  <Characters>5168</Characters>
  <Application>Microsoft Office Word</Application>
  <DocSecurity>0</DocSecurity>
  <Lines>43</Lines>
  <Paragraphs>12</Paragraphs>
  <ScaleCrop>false</ScaleCrop>
  <Company/>
  <LinksUpToDate>false</LinksUpToDate>
  <CharactersWithSpaces>6062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2020-06-16T20:41:00Z</dcterms:created>
  <dcterms:modified xsi:type="dcterms:W3CDTF">2020-06-16T20:41:00Z</dcterms:modified>
</cp:coreProperties>
</file>