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57E2" w:rsidRDefault="00BD57E2" w:rsidP="00BD57E2">
      <w:pPr>
        <w:spacing w:after="200"/>
        <w:ind w:right="283"/>
        <w:jc w:val="center"/>
        <w:rPr>
          <w:b/>
          <w:bCs/>
          <w:caps/>
          <w:color w:val="010000"/>
          <w:szCs w:val="30"/>
          <w:lang w:eastAsia="zh-CN"/>
        </w:rPr>
      </w:pPr>
      <w:r w:rsidRPr="00BD57E2">
        <w:rPr>
          <w:b/>
          <w:bCs/>
          <w:caps/>
          <w:color w:val="010000"/>
          <w:szCs w:val="28"/>
          <w:lang w:eastAsia="zh-CN"/>
        </w:rPr>
        <w:t xml:space="preserve"> </w:t>
      </w:r>
      <w:r w:rsidRPr="00BD57E2">
        <w:rPr>
          <w:b/>
          <w:bCs/>
          <w:caps/>
          <w:color w:val="010000"/>
          <w:szCs w:val="30"/>
          <w:lang w:eastAsia="zh-CN"/>
        </w:rPr>
        <w:t>ANAYASA MAHKEMESİ KARARI</w:t>
      </w:r>
    </w:p>
    <w:p w:rsidR="00BD57E2" w:rsidRPr="00BD57E2" w:rsidRDefault="00BD57E2" w:rsidP="00BD57E2">
      <w:pPr>
        <w:spacing w:after="200"/>
        <w:ind w:right="283" w:firstLine="709"/>
        <w:jc w:val="center"/>
        <w:rPr>
          <w:b/>
          <w:bCs/>
          <w:caps/>
          <w:color w:val="010000"/>
          <w:szCs w:val="30"/>
          <w:lang w:eastAsia="zh-CN"/>
        </w:rPr>
      </w:pPr>
    </w:p>
    <w:p w:rsidR="00BD57E2" w:rsidRDefault="00BD57E2" w:rsidP="00BD57E2">
      <w:pPr>
        <w:rPr>
          <w:b/>
          <w:bCs/>
          <w:color w:val="010000"/>
          <w:szCs w:val="22"/>
          <w:lang w:eastAsia="zh-CN"/>
        </w:rPr>
      </w:pPr>
      <w:r>
        <w:rPr>
          <w:b/>
          <w:bCs/>
          <w:color w:val="010000"/>
          <w:szCs w:val="22"/>
          <w:lang w:eastAsia="zh-CN"/>
        </w:rPr>
        <w:t>Esas Sayısı:2014/25 (Siyasi Parti Mali Denetimi)</w:t>
      </w:r>
    </w:p>
    <w:p w:rsidR="00BD57E2" w:rsidRDefault="00BD57E2" w:rsidP="00BD57E2">
      <w:pPr>
        <w:rPr>
          <w:b/>
          <w:color w:val="010000"/>
          <w:szCs w:val="22"/>
        </w:rPr>
      </w:pPr>
      <w:r>
        <w:rPr>
          <w:b/>
          <w:color w:val="010000"/>
          <w:szCs w:val="22"/>
        </w:rPr>
        <w:t>Karar Sayısı:2015/77</w:t>
      </w:r>
    </w:p>
    <w:p w:rsidR="00BD57E2" w:rsidRDefault="00BD57E2" w:rsidP="00BD57E2">
      <w:pPr>
        <w:rPr>
          <w:b/>
          <w:color w:val="010000"/>
          <w:szCs w:val="22"/>
        </w:rPr>
      </w:pPr>
      <w:r>
        <w:rPr>
          <w:b/>
          <w:color w:val="010000"/>
          <w:szCs w:val="22"/>
        </w:rPr>
        <w:t>Karar Tarihi:1.7.2015</w:t>
      </w:r>
    </w:p>
    <w:p w:rsidR="00BD57E2" w:rsidRDefault="00BD57E2" w:rsidP="00BD57E2">
      <w:pPr>
        <w:rPr>
          <w:b/>
          <w:color w:val="010000"/>
          <w:szCs w:val="22"/>
        </w:rPr>
      </w:pPr>
      <w:r>
        <w:rPr>
          <w:b/>
          <w:color w:val="010000"/>
          <w:szCs w:val="22"/>
        </w:rPr>
        <w:t>R.G. Tarih-Sayı:19.11.2015-29537</w:t>
      </w:r>
    </w:p>
    <w:p w:rsidR="00BD57E2" w:rsidRPr="00BD57E2" w:rsidRDefault="00BD57E2" w:rsidP="00BD57E2">
      <w:pPr>
        <w:rPr>
          <w:b/>
          <w:color w:val="010000"/>
          <w:szCs w:val="22"/>
        </w:rPr>
      </w:pPr>
    </w:p>
    <w:p w:rsidR="00BD57E2" w:rsidRPr="00BD57E2" w:rsidRDefault="00BD57E2" w:rsidP="00BD57E2">
      <w:pPr>
        <w:spacing w:after="200"/>
        <w:ind w:right="283" w:firstLine="709"/>
        <w:jc w:val="both"/>
        <w:rPr>
          <w:color w:val="010000"/>
          <w:szCs w:val="22"/>
          <w:lang w:eastAsia="zh-CN"/>
        </w:rPr>
      </w:pPr>
      <w:r w:rsidRPr="00BD57E2">
        <w:rPr>
          <w:b/>
          <w:bCs/>
          <w:color w:val="010000"/>
          <w:szCs w:val="22"/>
          <w:lang w:eastAsia="zh-CN"/>
        </w:rPr>
        <w:t>I- MALİ DENETİMİN KONUSU</w:t>
      </w:r>
    </w:p>
    <w:p w:rsidR="00BD57E2" w:rsidRPr="00BD57E2" w:rsidRDefault="00BD57E2" w:rsidP="00BD57E2">
      <w:pPr>
        <w:spacing w:after="200"/>
        <w:ind w:right="283" w:firstLine="709"/>
        <w:jc w:val="both"/>
        <w:rPr>
          <w:color w:val="010000"/>
          <w:szCs w:val="19"/>
          <w:lang w:eastAsia="zh-CN"/>
        </w:rPr>
      </w:pPr>
      <w:r w:rsidRPr="00BD57E2">
        <w:rPr>
          <w:color w:val="010000"/>
          <w:szCs w:val="19"/>
          <w:lang w:eastAsia="zh-CN"/>
        </w:rPr>
        <w:t>Hak ve Adalet Partisi 2013 yılı kesin hesabının incelenmesidir.</w:t>
      </w:r>
    </w:p>
    <w:p w:rsidR="00BD57E2" w:rsidRPr="00BD57E2" w:rsidRDefault="00BD57E2" w:rsidP="00BD57E2">
      <w:pPr>
        <w:spacing w:after="200"/>
        <w:ind w:right="283" w:firstLine="709"/>
        <w:jc w:val="both"/>
        <w:rPr>
          <w:color w:val="010000"/>
          <w:szCs w:val="22"/>
          <w:lang w:eastAsia="zh-CN"/>
        </w:rPr>
      </w:pPr>
      <w:r w:rsidRPr="00BD57E2">
        <w:rPr>
          <w:b/>
          <w:bCs/>
          <w:color w:val="010000"/>
          <w:szCs w:val="22"/>
          <w:lang w:eastAsia="zh-CN"/>
        </w:rPr>
        <w:t>II- İLK İNCELEME</w:t>
      </w:r>
    </w:p>
    <w:p w:rsidR="00BD57E2" w:rsidRPr="00BD57E2" w:rsidRDefault="00BD57E2" w:rsidP="00BD57E2">
      <w:pPr>
        <w:spacing w:after="200"/>
        <w:ind w:right="283" w:firstLine="709"/>
        <w:jc w:val="both"/>
        <w:rPr>
          <w:color w:val="010000"/>
          <w:szCs w:val="19"/>
          <w:lang w:eastAsia="zh-CN"/>
        </w:rPr>
      </w:pPr>
      <w:r w:rsidRPr="00BD57E2">
        <w:rPr>
          <w:color w:val="010000"/>
          <w:szCs w:val="19"/>
          <w:lang w:eastAsia="zh-CN"/>
        </w:rPr>
        <w:t xml:space="preserve">1. Anayasa Mahkemesi İçtüzüğü hükümleri uyarınca </w:t>
      </w:r>
      <w:proofErr w:type="spellStart"/>
      <w:r w:rsidRPr="00BD57E2">
        <w:rPr>
          <w:color w:val="010000"/>
          <w:szCs w:val="19"/>
          <w:lang w:eastAsia="zh-CN"/>
        </w:rPr>
        <w:t>Serruh</w:t>
      </w:r>
      <w:proofErr w:type="spellEnd"/>
      <w:r w:rsidRPr="00BD57E2">
        <w:rPr>
          <w:color w:val="010000"/>
          <w:szCs w:val="19"/>
          <w:lang w:eastAsia="zh-CN"/>
        </w:rPr>
        <w:t xml:space="preserve"> KALELİ, Alparslan ALTAN, Serdar ÖZGÜLDÜR, Osman </w:t>
      </w:r>
      <w:proofErr w:type="spellStart"/>
      <w:r w:rsidRPr="00BD57E2">
        <w:rPr>
          <w:color w:val="010000"/>
          <w:szCs w:val="19"/>
          <w:lang w:eastAsia="zh-CN"/>
        </w:rPr>
        <w:t>Alifeyyaz</w:t>
      </w:r>
      <w:proofErr w:type="spellEnd"/>
      <w:r w:rsidRPr="00BD57E2">
        <w:rPr>
          <w:color w:val="010000"/>
          <w:szCs w:val="19"/>
          <w:lang w:eastAsia="zh-CN"/>
        </w:rPr>
        <w:t xml:space="preserve"> PAKSÜT, Recep KÖMÜRCÜ, Burhan ÜSTÜN, Engin YILDIRIM, Nuri NECİPOĞLU, </w:t>
      </w:r>
      <w:proofErr w:type="spellStart"/>
      <w:r w:rsidRPr="00BD57E2">
        <w:rPr>
          <w:color w:val="010000"/>
          <w:szCs w:val="19"/>
          <w:lang w:eastAsia="zh-CN"/>
        </w:rPr>
        <w:t>Hicabi</w:t>
      </w:r>
      <w:proofErr w:type="spellEnd"/>
      <w:r w:rsidRPr="00BD57E2">
        <w:rPr>
          <w:color w:val="010000"/>
          <w:szCs w:val="19"/>
          <w:lang w:eastAsia="zh-CN"/>
        </w:rPr>
        <w:t xml:space="preserve"> DURSUN, Celal Mümtaz AKINCI, Erdal TERCAN, Muammer TOPAL, Zühtü ARSLAN, M. Emin KUZ ve Hasan Tahsin </w:t>
      </w:r>
      <w:proofErr w:type="spellStart"/>
      <w:r w:rsidRPr="00BD57E2">
        <w:rPr>
          <w:color w:val="010000"/>
          <w:szCs w:val="19"/>
          <w:lang w:eastAsia="zh-CN"/>
        </w:rPr>
        <w:t>GÖKCAN’ın</w:t>
      </w:r>
      <w:proofErr w:type="spellEnd"/>
      <w:r w:rsidRPr="00BD57E2">
        <w:rPr>
          <w:color w:val="010000"/>
          <w:szCs w:val="19"/>
          <w:lang w:eastAsia="zh-CN"/>
        </w:rPr>
        <w:t xml:space="preserve"> katılımlarıyla 17.12.2014 tarihinde yapılan ilk inceleme toplantısında öncelikle suç duyurusunda bulunulup bulunulmayacağı sorunu görüşülmüştür.</w:t>
      </w:r>
    </w:p>
    <w:p w:rsidR="00BD57E2" w:rsidRPr="00BD57E2" w:rsidRDefault="00BD57E2" w:rsidP="00BD57E2">
      <w:pPr>
        <w:spacing w:after="200"/>
        <w:ind w:right="283" w:firstLine="709"/>
        <w:jc w:val="both"/>
        <w:rPr>
          <w:color w:val="010000"/>
          <w:szCs w:val="19"/>
          <w:lang w:eastAsia="zh-CN"/>
        </w:rPr>
      </w:pPr>
      <w:r w:rsidRPr="00BD57E2">
        <w:rPr>
          <w:color w:val="010000"/>
          <w:szCs w:val="19"/>
          <w:lang w:eastAsia="zh-CN"/>
        </w:rPr>
        <w:t xml:space="preserve">2. 2820 sayılı Siyasi Partiler Kanunu’nun 73. maddesinin üçüncü fıkrasında </w:t>
      </w:r>
      <w:r w:rsidRPr="00BD57E2">
        <w:rPr>
          <w:i/>
          <w:color w:val="010000"/>
          <w:szCs w:val="19"/>
          <w:lang w:eastAsia="zh-CN"/>
        </w:rPr>
        <w:t>“İller teşkilatından gönderilenler ve parti merkezine ait olan kesin hesapların, Merkez Karar ve Yönetim Kurulunca incelenerek karara bağlanacağı”</w:t>
      </w:r>
      <w:r w:rsidRPr="00BD57E2">
        <w:rPr>
          <w:color w:val="010000"/>
          <w:szCs w:val="19"/>
          <w:lang w:eastAsia="zh-CN"/>
        </w:rPr>
        <w:t xml:space="preserve"> öngörülmüş ve aynı Kanun’un 74. maddesinin ikinci fıkrasında da </w:t>
      </w:r>
      <w:r w:rsidRPr="00BD57E2">
        <w:rPr>
          <w:i/>
          <w:color w:val="010000"/>
          <w:szCs w:val="19"/>
          <w:lang w:eastAsia="zh-CN"/>
        </w:rPr>
        <w:t>“siyasi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BD57E2">
        <w:rPr>
          <w:color w:val="010000"/>
          <w:szCs w:val="19"/>
          <w:lang w:eastAsia="zh-CN"/>
        </w:rPr>
        <w:t xml:space="preserve"> denilerek il örgütlerinden gönderilen kesin hesaplar ile parti genel merkezine ilişkin kesin hesabın merkez karar ve yönetim kurulunca incelenerek karara bağlanacağı ve birleştirileceği, birleştirilmiş kesin hesap cetvellerinin Anayasa Mahkemesine sunulacağı hükme bağlanmıştır.</w:t>
      </w:r>
    </w:p>
    <w:p w:rsidR="00BD57E2" w:rsidRPr="00BD57E2" w:rsidRDefault="00BD57E2" w:rsidP="00BD57E2">
      <w:pPr>
        <w:spacing w:after="200"/>
        <w:ind w:right="283" w:firstLine="709"/>
        <w:jc w:val="both"/>
        <w:rPr>
          <w:color w:val="010000"/>
          <w:szCs w:val="19"/>
          <w:lang w:eastAsia="zh-CN"/>
        </w:rPr>
      </w:pPr>
      <w:r w:rsidRPr="00BD57E2">
        <w:rPr>
          <w:color w:val="010000"/>
          <w:szCs w:val="19"/>
          <w:lang w:eastAsia="zh-CN"/>
        </w:rPr>
        <w:t>3. Yargıtay Cumhuriyet Başsavcılığının göndermiş olduğu yazıya ekli listeye göre Hak ve Adalet Partisinin örgütlendiği belirtilen 53 il örgütüne ilişkin 2013 yılı kesin hesaplarının gönderilmediği tespit edilmiştir.</w:t>
      </w:r>
    </w:p>
    <w:p w:rsidR="00BD57E2" w:rsidRPr="00BD57E2" w:rsidRDefault="00BD57E2" w:rsidP="00BD57E2">
      <w:pPr>
        <w:spacing w:after="200"/>
        <w:ind w:right="283" w:firstLine="709"/>
        <w:jc w:val="both"/>
        <w:rPr>
          <w:color w:val="010000"/>
          <w:szCs w:val="19"/>
          <w:lang w:eastAsia="zh-CN"/>
        </w:rPr>
      </w:pPr>
      <w:r w:rsidRPr="00BD57E2">
        <w:rPr>
          <w:color w:val="010000"/>
          <w:szCs w:val="19"/>
          <w:lang w:eastAsia="zh-CN"/>
        </w:rPr>
        <w:t>4. Siyasi partilerin faaliyetlerini yürüttükleri genel merkez, il, ilçe ve belde başkanlıklarına ait yerler partilerin kendilerine ait olabileceği gibi kiralık olarak da kullanılabilecektir. Şayet, parti yetkililerine ait veya bunların kendilerinin kullandıkları yerlerde siyasi parti faaliyette bulunuyor ise bu takdirde kira sözleşmesi düzenlenerek isabet eden tutarın partiye bağış olarak kaydedilmesi gerekir.</w:t>
      </w:r>
    </w:p>
    <w:p w:rsidR="00BD57E2" w:rsidRPr="00BD57E2" w:rsidRDefault="00BD57E2" w:rsidP="00BD57E2">
      <w:pPr>
        <w:spacing w:after="200"/>
        <w:ind w:right="283" w:firstLine="709"/>
        <w:jc w:val="both"/>
        <w:rPr>
          <w:color w:val="010000"/>
          <w:szCs w:val="19"/>
          <w:lang w:eastAsia="zh-CN"/>
        </w:rPr>
      </w:pPr>
      <w:r w:rsidRPr="00BD57E2">
        <w:rPr>
          <w:color w:val="010000"/>
          <w:szCs w:val="19"/>
          <w:lang w:eastAsia="zh-CN"/>
        </w:rPr>
        <w:t>5. Ayrıca, partilerin genel merkez, il, ilçe ve belde başkanlıklarının hayatın olağan akışı gereği kira, su, elektrik, posta, telefon, kırtasiye, tutulacak defterlerin satın alınması vb. bir takım genel yönetim giderlerini de yapması gerekir.</w:t>
      </w:r>
      <w:r w:rsidRPr="00BD57E2">
        <w:rPr>
          <w:color w:val="010000"/>
          <w:szCs w:val="19"/>
          <w:lang w:eastAsia="zh-CN"/>
        </w:rPr>
        <w:t xml:space="preserve"> </w:t>
      </w:r>
    </w:p>
    <w:p w:rsidR="00BD57E2" w:rsidRPr="00BD57E2" w:rsidRDefault="00BD57E2" w:rsidP="00BD57E2">
      <w:pPr>
        <w:spacing w:after="200"/>
        <w:ind w:right="283" w:firstLine="709"/>
        <w:jc w:val="both"/>
        <w:rPr>
          <w:color w:val="010000"/>
          <w:szCs w:val="19"/>
          <w:lang w:eastAsia="zh-CN"/>
        </w:rPr>
      </w:pPr>
      <w:r w:rsidRPr="00BD57E2">
        <w:rPr>
          <w:color w:val="010000"/>
          <w:szCs w:val="19"/>
          <w:lang w:eastAsia="zh-CN"/>
        </w:rPr>
        <w:t xml:space="preserve">6. 2820 sayılı Kanun’un 69. maddesinde, bir siyasi partinin bütün gelirlerinin, o siyasi partinin tüzelkişiliği adına elde edileceği; 70. maddesinde, siyasi partilerin giderlerinin amaçlarına aykırı olamayacağı ve bir siyasi partinin bütün giderlerinin, o siyasi parti tüzelkişiliği adına yapılacağı; 111. maddesinin birinci fıkrasının (c) bendinde de yapılan inceleme ve araştırmaları </w:t>
      </w:r>
      <w:r w:rsidRPr="00BD57E2">
        <w:rPr>
          <w:color w:val="010000"/>
          <w:szCs w:val="19"/>
          <w:lang w:eastAsia="zh-CN"/>
        </w:rPr>
        <w:lastRenderedPageBreak/>
        <w:t>engelleyen ve istenen bilgileri vermeyen parti sorumluları hakkında altı aydan bir yıla kadar hapis 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gider bedellerini partiye bağış geliri olarak kaydetmek suretiyle parti tüzelkişiliği adına hesaplara dâhil etmesi gerekir.</w:t>
      </w:r>
      <w:r w:rsidRPr="00BD57E2">
        <w:rPr>
          <w:color w:val="010000"/>
          <w:szCs w:val="19"/>
          <w:lang w:eastAsia="zh-CN"/>
        </w:rPr>
        <w:t xml:space="preserve"> </w:t>
      </w:r>
    </w:p>
    <w:p w:rsidR="00BD57E2" w:rsidRPr="00BD57E2" w:rsidRDefault="00BD57E2" w:rsidP="00BD57E2">
      <w:pPr>
        <w:spacing w:after="200"/>
        <w:ind w:right="283" w:firstLine="709"/>
        <w:jc w:val="both"/>
        <w:rPr>
          <w:color w:val="010000"/>
          <w:szCs w:val="19"/>
          <w:lang w:eastAsia="zh-CN"/>
        </w:rPr>
      </w:pPr>
      <w:r w:rsidRPr="00BD57E2">
        <w:rPr>
          <w:color w:val="010000"/>
          <w:szCs w:val="19"/>
          <w:lang w:eastAsia="zh-CN"/>
        </w:rPr>
        <w:t>7. Yönetim giderlerinin hesaplarda görülmemesi kayıt dışı gelir ve gider oluşturulmuş olduğunu göstermektedir. Bu durumda, 2820 sayılı Kanun’un 69. ve 70. maddelerine aykırı davranılmış olmaktadır.</w:t>
      </w:r>
    </w:p>
    <w:p w:rsidR="00BD57E2" w:rsidRPr="00BD57E2" w:rsidRDefault="00BD57E2" w:rsidP="00BD57E2">
      <w:pPr>
        <w:spacing w:after="200"/>
        <w:ind w:right="283" w:firstLine="709"/>
        <w:jc w:val="both"/>
        <w:rPr>
          <w:color w:val="010000"/>
          <w:szCs w:val="19"/>
          <w:lang w:eastAsia="zh-CN"/>
        </w:rPr>
      </w:pPr>
      <w:r w:rsidRPr="00BD57E2">
        <w:rPr>
          <w:color w:val="010000"/>
          <w:szCs w:val="19"/>
          <w:lang w:eastAsia="zh-CN"/>
        </w:rPr>
        <w:t>8. Mahkemeye bilgilerin istendiği şekliyle verilmemesi, hesap verilebilir şekilde kayıt ve belge düzeninin oluşturulmaması, hesabın dışında gelir ve gider oluşturulması, inceleme ve araştırmayı engellemeye yönelik eylemler olduğundan dolayı 2820 sayılı Kanun’un 111. maddesinin birinci fıkrasının (c) bendine istinaden gerekli işlemlerin yapılmasını temin için Ankara Cumhuriyet Başsavcılığına suç duyurusunda bulunulması gerekir.</w:t>
      </w:r>
    </w:p>
    <w:p w:rsidR="00BD57E2" w:rsidRPr="00BD57E2" w:rsidRDefault="00BD57E2" w:rsidP="00BD57E2">
      <w:pPr>
        <w:spacing w:after="200"/>
        <w:ind w:right="283" w:firstLine="709"/>
        <w:jc w:val="both"/>
        <w:rPr>
          <w:color w:val="010000"/>
          <w:szCs w:val="19"/>
          <w:lang w:eastAsia="zh-CN"/>
        </w:rPr>
      </w:pPr>
      <w:r w:rsidRPr="00BD57E2">
        <w:rPr>
          <w:color w:val="010000"/>
          <w:szCs w:val="19"/>
          <w:lang w:eastAsia="zh-CN"/>
        </w:rPr>
        <w:t>9. Bu itibarla, Hak ve Adalet Partisinin 2013 yılı kesin hesabının incelenmesi sonucunda;</w:t>
      </w:r>
    </w:p>
    <w:p w:rsidR="00BD57E2" w:rsidRPr="00BD57E2" w:rsidRDefault="00BD57E2" w:rsidP="00BD57E2">
      <w:pPr>
        <w:spacing w:after="200"/>
        <w:ind w:right="283" w:firstLine="709"/>
        <w:jc w:val="both"/>
        <w:rPr>
          <w:color w:val="010000"/>
          <w:szCs w:val="19"/>
          <w:lang w:eastAsia="zh-CN"/>
        </w:rPr>
      </w:pPr>
      <w:r w:rsidRPr="00BD57E2">
        <w:rPr>
          <w:color w:val="010000"/>
          <w:szCs w:val="19"/>
          <w:lang w:eastAsia="zh-CN"/>
        </w:rPr>
        <w:t>1- Genel Merkeze ait kesin hesapların sunulmasından dolayı işin esasının incelenmesine;</w:t>
      </w:r>
      <w:r w:rsidRPr="00BD57E2">
        <w:rPr>
          <w:color w:val="010000"/>
          <w:szCs w:val="19"/>
          <w:lang w:eastAsia="zh-CN"/>
        </w:rPr>
        <w:t xml:space="preserve"> </w:t>
      </w:r>
    </w:p>
    <w:p w:rsidR="00BD57E2" w:rsidRPr="00BD57E2" w:rsidRDefault="00BD57E2" w:rsidP="00BD57E2">
      <w:pPr>
        <w:spacing w:after="200"/>
        <w:ind w:right="283" w:firstLine="709"/>
        <w:jc w:val="both"/>
        <w:rPr>
          <w:color w:val="010000"/>
          <w:szCs w:val="19"/>
          <w:lang w:eastAsia="zh-CN"/>
        </w:rPr>
      </w:pPr>
      <w:r w:rsidRPr="00BD57E2">
        <w:rPr>
          <w:color w:val="010000"/>
          <w:szCs w:val="19"/>
          <w:lang w:eastAsia="zh-CN"/>
        </w:rPr>
        <w:t>2-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BD57E2" w:rsidRPr="00BD57E2" w:rsidRDefault="00BD57E2" w:rsidP="00BD57E2">
      <w:pPr>
        <w:spacing w:after="200"/>
        <w:ind w:right="283" w:firstLine="709"/>
        <w:jc w:val="both"/>
        <w:rPr>
          <w:color w:val="010000"/>
          <w:szCs w:val="19"/>
          <w:lang w:eastAsia="zh-CN"/>
        </w:rPr>
      </w:pPr>
      <w:r w:rsidRPr="00BD57E2">
        <w:rPr>
          <w:color w:val="010000"/>
          <w:szCs w:val="19"/>
          <w:lang w:eastAsia="zh-CN"/>
        </w:rPr>
        <w:t xml:space="preserve">3- Anayasa Mahkemesine istenen bilgilerin istendiği şekliyle verilmemesi, hesap verilebilir şekilde kayıt ve belge düzeninin oluşturulmaması, hesabın dışında gelir ve gider yapılması, inceleme ve araştırmayı engellemeye yönelik eylemler olduğundan, Parti sorumluları </w:t>
      </w:r>
      <w:proofErr w:type="gramStart"/>
      <w:r w:rsidRPr="00BD57E2">
        <w:rPr>
          <w:color w:val="010000"/>
          <w:szCs w:val="19"/>
          <w:lang w:eastAsia="zh-CN"/>
        </w:rPr>
        <w:t>hakkında</w:t>
      </w:r>
      <w:proofErr w:type="gramEnd"/>
      <w:r w:rsidRPr="00BD57E2">
        <w:rPr>
          <w:color w:val="010000"/>
          <w:szCs w:val="19"/>
          <w:lang w:eastAsia="zh-CN"/>
        </w:rPr>
        <w:t xml:space="preserve"> 2820 sayılı Kanun’un 111. maddesinin birinci fıkrasının (c) bendi uyarınca yasal işlem yapılması için Ankara Cumhuriyet Başsavcılığına suç duyurusunda bulunulmasına OYBİRLİĞİYLE karar verilmiştir. </w:t>
      </w:r>
    </w:p>
    <w:p w:rsidR="00BD57E2" w:rsidRPr="00BD57E2" w:rsidRDefault="00BD57E2" w:rsidP="00BD57E2">
      <w:pPr>
        <w:spacing w:after="200"/>
        <w:ind w:right="283" w:firstLine="709"/>
        <w:jc w:val="both"/>
        <w:rPr>
          <w:color w:val="010000"/>
          <w:szCs w:val="22"/>
          <w:lang w:eastAsia="zh-CN"/>
        </w:rPr>
      </w:pPr>
      <w:r w:rsidRPr="00BD57E2">
        <w:rPr>
          <w:b/>
          <w:bCs/>
          <w:color w:val="010000"/>
          <w:szCs w:val="22"/>
          <w:lang w:eastAsia="zh-CN"/>
        </w:rPr>
        <w:t>III- ESASIN İNCELENMESİ</w:t>
      </w:r>
    </w:p>
    <w:p w:rsidR="00BD57E2" w:rsidRPr="00BD57E2" w:rsidRDefault="00BD57E2" w:rsidP="00BD57E2">
      <w:pPr>
        <w:spacing w:after="200"/>
        <w:ind w:right="283" w:firstLine="709"/>
        <w:jc w:val="both"/>
        <w:rPr>
          <w:color w:val="010000"/>
          <w:szCs w:val="19"/>
          <w:lang w:eastAsia="zh-CN"/>
        </w:rPr>
      </w:pPr>
      <w:r w:rsidRPr="00BD57E2">
        <w:rPr>
          <w:color w:val="010000"/>
          <w:szCs w:val="19"/>
          <w:lang w:eastAsia="zh-CN"/>
        </w:rPr>
        <w:t>10. Hak ve Adalet Partisinin, Anayasa Mahkemesine verdiği 2013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BD57E2" w:rsidRPr="00BD57E2" w:rsidRDefault="00BD57E2" w:rsidP="00BD57E2">
      <w:pPr>
        <w:spacing w:after="200"/>
        <w:ind w:right="283" w:firstLine="709"/>
        <w:jc w:val="both"/>
        <w:rPr>
          <w:color w:val="010000"/>
          <w:szCs w:val="16"/>
          <w:lang w:eastAsia="zh-CN"/>
        </w:rPr>
      </w:pPr>
      <w:r w:rsidRPr="00BD57E2">
        <w:rPr>
          <w:color w:val="010000"/>
          <w:szCs w:val="19"/>
          <w:lang w:eastAsia="zh-CN"/>
        </w:rPr>
        <w:t>11. Denetimin maddi öğelerini oluşturan defter ve belgelerde Partinin 2013 yılı gelirlerinin 14.459,49 TL, giderler toplamının 13.851,78 TL, gelecek yıla devreden nakit tutarının 617,71TL olduğu anlaşılmaktadır.</w:t>
      </w:r>
    </w:p>
    <w:p w:rsidR="00BD57E2" w:rsidRPr="00BD57E2" w:rsidRDefault="00BD57E2" w:rsidP="00BD57E2">
      <w:pPr>
        <w:spacing w:after="200"/>
        <w:ind w:right="283" w:firstLine="709"/>
        <w:jc w:val="both"/>
        <w:rPr>
          <w:color w:val="010000"/>
          <w:szCs w:val="16"/>
          <w:lang w:eastAsia="zh-CN"/>
        </w:rPr>
      </w:pPr>
      <w:r w:rsidRPr="00BD57E2">
        <w:rPr>
          <w:color w:val="010000"/>
          <w:szCs w:val="19"/>
          <w:lang w:eastAsia="zh-CN"/>
        </w:rPr>
        <w:t>12. Partinin 2013 yılı kesin hesabının gelir ve gider rakamlarının yukarıda açıklanan tutarlardan oluştuğu, bu haliyle 2013 yılı kesin hesabının doğru, denk ve 2820 sayılı Kanun’a uygun olduğu sonucuna varılmıştır.</w:t>
      </w:r>
    </w:p>
    <w:p w:rsidR="00BD57E2" w:rsidRPr="00BD57E2" w:rsidRDefault="00BD57E2" w:rsidP="00BD57E2">
      <w:pPr>
        <w:spacing w:after="200"/>
        <w:ind w:right="283" w:firstLine="709"/>
        <w:jc w:val="both"/>
        <w:rPr>
          <w:color w:val="010000"/>
          <w:szCs w:val="16"/>
          <w:lang w:eastAsia="zh-CN"/>
        </w:rPr>
      </w:pPr>
      <w:r w:rsidRPr="00BD57E2">
        <w:rPr>
          <w:b/>
          <w:bCs/>
          <w:color w:val="010000"/>
          <w:szCs w:val="22"/>
          <w:lang w:eastAsia="zh-CN"/>
        </w:rPr>
        <w:t>A-</w:t>
      </w:r>
      <w:r w:rsidRPr="00BD57E2">
        <w:rPr>
          <w:color w:val="010000"/>
          <w:szCs w:val="22"/>
          <w:lang w:eastAsia="zh-CN"/>
        </w:rPr>
        <w:t xml:space="preserve"> </w:t>
      </w:r>
      <w:r w:rsidRPr="00BD57E2">
        <w:rPr>
          <w:b/>
          <w:bCs/>
          <w:color w:val="010000"/>
          <w:szCs w:val="22"/>
          <w:lang w:eastAsia="zh-CN"/>
        </w:rPr>
        <w:t>Gelirlerin İncelenmesi</w:t>
      </w:r>
    </w:p>
    <w:p w:rsidR="00BD57E2" w:rsidRPr="00BD57E2" w:rsidRDefault="00BD57E2" w:rsidP="00BD57E2">
      <w:pPr>
        <w:spacing w:after="200"/>
        <w:ind w:right="283" w:firstLine="709"/>
        <w:jc w:val="both"/>
        <w:rPr>
          <w:color w:val="010000"/>
          <w:szCs w:val="16"/>
          <w:lang w:eastAsia="zh-CN"/>
        </w:rPr>
      </w:pPr>
      <w:r w:rsidRPr="00BD57E2">
        <w:rPr>
          <w:b/>
          <w:bCs/>
          <w:color w:val="010000"/>
          <w:szCs w:val="22"/>
          <w:lang w:eastAsia="zh-CN"/>
        </w:rPr>
        <w:t>Genel Merkez Gelirleri</w:t>
      </w:r>
    </w:p>
    <w:p w:rsidR="00BD57E2" w:rsidRPr="00BD57E2" w:rsidRDefault="00BD57E2" w:rsidP="00BD57E2">
      <w:pPr>
        <w:spacing w:after="200"/>
        <w:ind w:right="283" w:firstLine="709"/>
        <w:jc w:val="both"/>
        <w:rPr>
          <w:color w:val="010000"/>
          <w:szCs w:val="19"/>
          <w:lang w:eastAsia="zh-CN"/>
        </w:rPr>
      </w:pPr>
      <w:r w:rsidRPr="00BD57E2">
        <w:rPr>
          <w:color w:val="010000"/>
          <w:szCs w:val="19"/>
          <w:lang w:eastAsia="zh-CN"/>
        </w:rPr>
        <w:lastRenderedPageBreak/>
        <w:t>13. Partinin Genel Merkez gelirleri toplamı 14.459,49 TL olup bunun 3.759,49 TL’si üye yıllık aidatından, 10.700,00 TL’si bağış gelirlerinden oluşmaktadır.</w:t>
      </w:r>
      <w:r w:rsidRPr="00BD57E2">
        <w:rPr>
          <w:color w:val="010000"/>
          <w:szCs w:val="19"/>
          <w:lang w:eastAsia="zh-CN"/>
        </w:rPr>
        <w:t xml:space="preserve"> </w:t>
      </w:r>
    </w:p>
    <w:p w:rsidR="00BD57E2" w:rsidRPr="00BD57E2" w:rsidRDefault="00BD57E2" w:rsidP="00BD57E2">
      <w:pPr>
        <w:spacing w:after="200"/>
        <w:ind w:right="283" w:firstLine="709"/>
        <w:jc w:val="both"/>
        <w:rPr>
          <w:b/>
          <w:bCs/>
          <w:color w:val="010000"/>
          <w:szCs w:val="19"/>
          <w:lang w:eastAsia="zh-CN"/>
        </w:rPr>
      </w:pPr>
      <w:r w:rsidRPr="00BD57E2">
        <w:rPr>
          <w:color w:val="010000"/>
          <w:szCs w:val="19"/>
          <w:lang w:eastAsia="zh-CN"/>
        </w:rPr>
        <w:t>14. Parti Genel Merkezinin defter kayıtları ve gelir belgeleri üzerinde yapılan incelemede, gelirlerin 2820 sayılı Kanun’a uygun olarak sağlandığı sonucuna varılmıştır.</w:t>
      </w:r>
    </w:p>
    <w:p w:rsidR="00BD57E2" w:rsidRPr="00BD57E2" w:rsidRDefault="00BD57E2" w:rsidP="00BD57E2">
      <w:pPr>
        <w:spacing w:after="200"/>
        <w:ind w:right="283" w:firstLine="709"/>
        <w:jc w:val="both"/>
        <w:rPr>
          <w:b/>
          <w:bCs/>
          <w:color w:val="010000"/>
          <w:szCs w:val="16"/>
          <w:lang w:eastAsia="zh-CN"/>
        </w:rPr>
      </w:pPr>
      <w:r w:rsidRPr="00BD57E2">
        <w:rPr>
          <w:b/>
          <w:bCs/>
          <w:color w:val="010000"/>
          <w:szCs w:val="22"/>
          <w:lang w:eastAsia="zh-CN"/>
        </w:rPr>
        <w:t>B- Giderlerin İncelenmesi</w:t>
      </w:r>
    </w:p>
    <w:p w:rsidR="00BD57E2" w:rsidRPr="00BD57E2" w:rsidRDefault="00BD57E2" w:rsidP="00BD57E2">
      <w:pPr>
        <w:spacing w:after="200"/>
        <w:ind w:right="283" w:firstLine="709"/>
        <w:jc w:val="both"/>
        <w:rPr>
          <w:color w:val="010000"/>
          <w:szCs w:val="22"/>
          <w:lang w:eastAsia="zh-CN"/>
        </w:rPr>
      </w:pPr>
      <w:r w:rsidRPr="00BD57E2">
        <w:rPr>
          <w:b/>
          <w:bCs/>
          <w:color w:val="010000"/>
          <w:szCs w:val="22"/>
          <w:lang w:eastAsia="zh-CN"/>
        </w:rPr>
        <w:t>Genel Merkez Giderleri</w:t>
      </w:r>
    </w:p>
    <w:p w:rsidR="00BD57E2" w:rsidRPr="00BD57E2" w:rsidRDefault="00BD57E2" w:rsidP="00BD57E2">
      <w:pPr>
        <w:spacing w:after="200"/>
        <w:ind w:right="283" w:firstLine="709"/>
        <w:jc w:val="both"/>
        <w:rPr>
          <w:color w:val="010000"/>
          <w:szCs w:val="19"/>
          <w:lang w:eastAsia="zh-CN"/>
        </w:rPr>
      </w:pPr>
      <w:r w:rsidRPr="00BD57E2">
        <w:rPr>
          <w:color w:val="010000"/>
          <w:szCs w:val="19"/>
          <w:lang w:eastAsia="zh-CN"/>
        </w:rPr>
        <w:t>15. Partinin Genel Merkez giderleri toplamı 13.851,78 TL olup, bunun 2.462,11 TL’si temsil ve ağırlama giderlerinden, 2.308,14 TL’si kırtasiye ve büro giderlerinden, 415,50 TL’si haberleşme giderlerinden, 2.257,73 TL’si seyahat giderlerinden, 2.400,00 TL’si kira giderlerinden, 2.608,30 TL’si ısınma, aydınlatma ve temizlik giderlerinden, 1.400,00 TL’si demirbaş giderlerinden oluşmaktadır.</w:t>
      </w:r>
    </w:p>
    <w:p w:rsidR="00BD57E2" w:rsidRPr="00BD57E2" w:rsidRDefault="00BD57E2" w:rsidP="00BD57E2">
      <w:pPr>
        <w:spacing w:after="200"/>
        <w:ind w:right="283" w:firstLine="709"/>
        <w:jc w:val="both"/>
        <w:rPr>
          <w:color w:val="010000"/>
          <w:szCs w:val="19"/>
          <w:lang w:eastAsia="zh-CN"/>
        </w:rPr>
      </w:pPr>
      <w:r w:rsidRPr="00BD57E2">
        <w:rPr>
          <w:color w:val="010000"/>
          <w:szCs w:val="19"/>
          <w:lang w:eastAsia="zh-CN"/>
        </w:rPr>
        <w:t>16. Parti Genel Merkezinin yılsonu kasa mevcudu ise 617,71TL’dir.</w:t>
      </w:r>
      <w:r w:rsidRPr="00BD57E2">
        <w:rPr>
          <w:color w:val="010000"/>
          <w:szCs w:val="19"/>
          <w:lang w:eastAsia="zh-CN"/>
        </w:rPr>
        <w:t xml:space="preserve"> </w:t>
      </w:r>
    </w:p>
    <w:p w:rsidR="00BD57E2" w:rsidRPr="00BD57E2" w:rsidRDefault="00BD57E2" w:rsidP="00BD57E2">
      <w:pPr>
        <w:spacing w:after="200"/>
        <w:ind w:right="283" w:firstLine="709"/>
        <w:jc w:val="both"/>
        <w:rPr>
          <w:color w:val="010000"/>
          <w:szCs w:val="19"/>
          <w:lang w:eastAsia="zh-CN"/>
        </w:rPr>
      </w:pPr>
      <w:r w:rsidRPr="00BD57E2">
        <w:rPr>
          <w:color w:val="010000"/>
          <w:szCs w:val="19"/>
          <w:lang w:eastAsia="zh-CN"/>
        </w:rPr>
        <w:t>17. Parti Genel Merkezinin defter kayıtları ve gider belgeleri üzerinde yapılan incelemede, giderlerin 2820 sayılı Kanun’a uygun olarak gerçekleştirildiği sonucuna varılmıştır.</w:t>
      </w:r>
    </w:p>
    <w:p w:rsidR="00BD57E2" w:rsidRPr="00BD57E2" w:rsidRDefault="00BD57E2" w:rsidP="00BD57E2">
      <w:pPr>
        <w:spacing w:after="200"/>
        <w:ind w:right="283" w:firstLine="709"/>
        <w:jc w:val="both"/>
        <w:rPr>
          <w:color w:val="010000"/>
          <w:szCs w:val="22"/>
          <w:lang w:eastAsia="zh-CN"/>
        </w:rPr>
      </w:pPr>
      <w:r w:rsidRPr="00BD57E2">
        <w:rPr>
          <w:b/>
          <w:bCs/>
          <w:color w:val="010000"/>
          <w:szCs w:val="22"/>
          <w:lang w:eastAsia="zh-CN"/>
        </w:rPr>
        <w:t>C- Parti Malları</w:t>
      </w:r>
    </w:p>
    <w:p w:rsidR="00BD57E2" w:rsidRPr="00BD57E2" w:rsidRDefault="00BD57E2" w:rsidP="00BD57E2">
      <w:pPr>
        <w:spacing w:after="200"/>
        <w:ind w:right="283" w:firstLine="709"/>
        <w:jc w:val="both"/>
        <w:rPr>
          <w:color w:val="010000"/>
          <w:szCs w:val="19"/>
          <w:lang w:eastAsia="zh-CN"/>
        </w:rPr>
      </w:pPr>
      <w:r w:rsidRPr="00BD57E2">
        <w:rPr>
          <w:color w:val="010000"/>
          <w:szCs w:val="19"/>
          <w:lang w:eastAsia="zh-CN"/>
        </w:rPr>
        <w:t>18. Partinin 2013 yılı defter ve belgeleri üzerinde yapılan incelemede, herhangi bir taşınmaz mal, menkul kıymet ve hak ediniminde bulunmadığı, edinilen 1.400,00 TL tutarındaki taşınır malın 2820 sayılı Kanun'a uygun olduğu tespit edilmiştir.</w:t>
      </w:r>
    </w:p>
    <w:p w:rsidR="00BD57E2" w:rsidRPr="00BD57E2" w:rsidRDefault="00BD57E2" w:rsidP="00BD57E2">
      <w:pPr>
        <w:spacing w:after="200"/>
        <w:ind w:right="283" w:firstLine="709"/>
        <w:jc w:val="both"/>
        <w:rPr>
          <w:color w:val="010000"/>
          <w:szCs w:val="22"/>
          <w:lang w:eastAsia="zh-CN"/>
        </w:rPr>
      </w:pPr>
      <w:r w:rsidRPr="00BD57E2">
        <w:rPr>
          <w:b/>
          <w:bCs/>
          <w:color w:val="010000"/>
          <w:szCs w:val="22"/>
          <w:lang w:eastAsia="zh-CN"/>
        </w:rPr>
        <w:t>IV- SONUÇ</w:t>
      </w:r>
    </w:p>
    <w:p w:rsidR="00BD57E2" w:rsidRPr="00BD57E2" w:rsidRDefault="00BD57E2" w:rsidP="00BD57E2">
      <w:pPr>
        <w:spacing w:after="200"/>
        <w:ind w:right="283" w:firstLine="709"/>
        <w:jc w:val="both"/>
        <w:rPr>
          <w:color w:val="010000"/>
          <w:szCs w:val="19"/>
          <w:lang w:eastAsia="zh-CN"/>
        </w:rPr>
      </w:pPr>
      <w:r w:rsidRPr="00BD57E2">
        <w:rPr>
          <w:color w:val="010000"/>
          <w:szCs w:val="19"/>
          <w:lang w:eastAsia="zh-CN"/>
        </w:rPr>
        <w:t>Hak ve Adalet Partisinin 2013 yılı kesin hesabının incelenmesi sonucunda;</w:t>
      </w:r>
    </w:p>
    <w:p w:rsidR="00BD57E2" w:rsidRDefault="00BD57E2" w:rsidP="00BD57E2">
      <w:pPr>
        <w:spacing w:after="200"/>
        <w:ind w:right="283" w:firstLine="709"/>
        <w:jc w:val="both"/>
        <w:rPr>
          <w:color w:val="010000"/>
          <w:szCs w:val="19"/>
          <w:lang w:eastAsia="zh-CN"/>
        </w:rPr>
      </w:pPr>
      <w:r w:rsidRPr="00BD57E2">
        <w:rPr>
          <w:color w:val="010000"/>
          <w:szCs w:val="19"/>
          <w:lang w:eastAsia="zh-CN"/>
        </w:rPr>
        <w:t>Partinin 2013 yılı kesin hesabında gösterilen 14.459,49 TL gelir ve 13.851,78 TL giderin eldeki bilgi ve belgelere göre doğru, denk ve 2820 sayılı Siyasi Partiler Kanunu’na uygun olduğuna,</w:t>
      </w:r>
      <w:r w:rsidRPr="00BD57E2">
        <w:rPr>
          <w:color w:val="010000"/>
          <w:szCs w:val="19"/>
          <w:lang w:eastAsia="zh-CN"/>
        </w:rPr>
        <w:t xml:space="preserve"> </w:t>
      </w:r>
      <w:r w:rsidRPr="00BD57E2">
        <w:rPr>
          <w:color w:val="010000"/>
          <w:szCs w:val="19"/>
          <w:lang w:eastAsia="zh-CN"/>
        </w:rPr>
        <w:t>1.7.2015 tarihinde OYBİRLİĞİYLE karar verildi.</w:t>
      </w:r>
    </w:p>
    <w:p w:rsidR="00BD57E2" w:rsidRPr="00BD57E2" w:rsidRDefault="00BD57E2" w:rsidP="00BD57E2">
      <w:pPr>
        <w:spacing w:after="200"/>
        <w:ind w:right="283" w:firstLine="709"/>
        <w:jc w:val="both"/>
        <w:rPr>
          <w:color w:val="010000"/>
          <w:szCs w:val="19"/>
          <w:lang w:eastAsia="zh-CN"/>
        </w:rPr>
      </w:pPr>
      <w:bookmarkStart w:id="0" w:name="_GoBack"/>
      <w:bookmarkEnd w:id="0"/>
    </w:p>
    <w:p w:rsidR="00BD57E2" w:rsidRDefault="00BD57E2"/>
    <w:tbl>
      <w:tblPr>
        <w:tblW w:w="5000" w:type="pct"/>
        <w:jc w:val="center"/>
        <w:tblCellMar>
          <w:left w:w="70" w:type="dxa"/>
          <w:right w:w="70" w:type="dxa"/>
        </w:tblCellMar>
        <w:tblLook w:val="04A0" w:firstRow="1" w:lastRow="0" w:firstColumn="1" w:lastColumn="0" w:noHBand="0" w:noVBand="1"/>
      </w:tblPr>
      <w:tblGrid>
        <w:gridCol w:w="3323"/>
        <w:gridCol w:w="3419"/>
        <w:gridCol w:w="3038"/>
      </w:tblGrid>
      <w:tr w:rsidR="00BD57E2" w:rsidRPr="00BD57E2" w:rsidTr="00BD57E2">
        <w:trPr>
          <w:jc w:val="center"/>
        </w:trPr>
        <w:tc>
          <w:tcPr>
            <w:tcW w:w="1699" w:type="pct"/>
            <w:hideMark/>
          </w:tcPr>
          <w:p w:rsidR="00BD57E2" w:rsidRPr="00BD57E2" w:rsidRDefault="00BD57E2" w:rsidP="00BD57E2">
            <w:pPr>
              <w:spacing w:before="240" w:after="240"/>
              <w:jc w:val="center"/>
              <w:rPr>
                <w:rFonts w:eastAsia="Calibri"/>
                <w:color w:val="010000"/>
                <w:szCs w:val="19"/>
                <w:lang w:eastAsia="en-US"/>
              </w:rPr>
            </w:pPr>
            <w:r w:rsidRPr="00BD57E2">
              <w:rPr>
                <w:color w:val="010000"/>
                <w:szCs w:val="19"/>
              </w:rPr>
              <w:t>Başkan</w:t>
            </w:r>
          </w:p>
          <w:p w:rsidR="00BD57E2" w:rsidRPr="00BD57E2" w:rsidRDefault="00BD57E2" w:rsidP="00BD57E2">
            <w:pPr>
              <w:spacing w:before="240" w:after="240"/>
              <w:jc w:val="center"/>
              <w:rPr>
                <w:color w:val="010000"/>
                <w:szCs w:val="19"/>
                <w:lang w:eastAsia="en-US"/>
              </w:rPr>
            </w:pPr>
            <w:r w:rsidRPr="00BD57E2">
              <w:rPr>
                <w:color w:val="010000"/>
                <w:szCs w:val="19"/>
              </w:rPr>
              <w:t>Zühtü ARSLAN</w:t>
            </w:r>
          </w:p>
        </w:tc>
        <w:tc>
          <w:tcPr>
            <w:tcW w:w="1748" w:type="pct"/>
            <w:hideMark/>
          </w:tcPr>
          <w:p w:rsidR="00BD57E2" w:rsidRPr="00BD57E2" w:rsidRDefault="00BD57E2" w:rsidP="00BD57E2">
            <w:pPr>
              <w:spacing w:before="240" w:after="240"/>
              <w:jc w:val="center"/>
              <w:rPr>
                <w:rFonts w:eastAsia="Calibri"/>
                <w:color w:val="010000"/>
                <w:szCs w:val="19"/>
                <w:lang w:eastAsia="en-US"/>
              </w:rPr>
            </w:pPr>
            <w:r w:rsidRPr="00BD57E2">
              <w:rPr>
                <w:color w:val="010000"/>
                <w:szCs w:val="19"/>
              </w:rPr>
              <w:t>Başkanvekili</w:t>
            </w:r>
          </w:p>
          <w:p w:rsidR="00BD57E2" w:rsidRPr="00BD57E2" w:rsidRDefault="00BD57E2" w:rsidP="00BD57E2">
            <w:pPr>
              <w:spacing w:before="240" w:after="240"/>
              <w:jc w:val="center"/>
              <w:rPr>
                <w:color w:val="010000"/>
                <w:szCs w:val="19"/>
                <w:lang w:eastAsia="en-US"/>
              </w:rPr>
            </w:pPr>
            <w:r w:rsidRPr="00BD57E2">
              <w:rPr>
                <w:color w:val="010000"/>
                <w:szCs w:val="19"/>
              </w:rPr>
              <w:t>Burhan ÜSTÜN</w:t>
            </w:r>
          </w:p>
        </w:tc>
        <w:tc>
          <w:tcPr>
            <w:tcW w:w="1553" w:type="pct"/>
            <w:hideMark/>
          </w:tcPr>
          <w:p w:rsidR="00BD57E2" w:rsidRPr="00BD57E2" w:rsidRDefault="00BD57E2" w:rsidP="00BD57E2">
            <w:pPr>
              <w:spacing w:before="240" w:after="240"/>
              <w:jc w:val="center"/>
              <w:rPr>
                <w:rFonts w:eastAsia="Calibri"/>
                <w:color w:val="010000"/>
                <w:szCs w:val="19"/>
                <w:lang w:eastAsia="en-US"/>
              </w:rPr>
            </w:pPr>
            <w:r w:rsidRPr="00BD57E2">
              <w:rPr>
                <w:color w:val="010000"/>
                <w:szCs w:val="19"/>
              </w:rPr>
              <w:t>Üye</w:t>
            </w:r>
          </w:p>
          <w:p w:rsidR="00BD57E2" w:rsidRPr="00BD57E2" w:rsidRDefault="00BD57E2" w:rsidP="00BD57E2">
            <w:pPr>
              <w:spacing w:before="240" w:after="240"/>
              <w:jc w:val="center"/>
              <w:rPr>
                <w:color w:val="010000"/>
                <w:szCs w:val="19"/>
                <w:lang w:eastAsia="en-US"/>
              </w:rPr>
            </w:pPr>
            <w:r w:rsidRPr="00BD57E2">
              <w:rPr>
                <w:color w:val="010000"/>
                <w:szCs w:val="19"/>
              </w:rPr>
              <w:t>Serdar ÖZGÜLDÜR</w:t>
            </w:r>
          </w:p>
        </w:tc>
      </w:tr>
      <w:tr w:rsidR="00BD57E2" w:rsidRPr="00BD57E2" w:rsidTr="00BD57E2">
        <w:trPr>
          <w:jc w:val="center"/>
        </w:trPr>
        <w:tc>
          <w:tcPr>
            <w:tcW w:w="1699" w:type="pct"/>
            <w:hideMark/>
          </w:tcPr>
          <w:p w:rsidR="00BD57E2" w:rsidRPr="00BD57E2" w:rsidRDefault="00BD57E2" w:rsidP="00BD57E2">
            <w:pPr>
              <w:spacing w:before="240" w:after="240"/>
              <w:jc w:val="center"/>
              <w:rPr>
                <w:rFonts w:eastAsia="Calibri"/>
                <w:color w:val="010000"/>
                <w:szCs w:val="19"/>
                <w:lang w:eastAsia="en-US"/>
              </w:rPr>
            </w:pPr>
            <w:r w:rsidRPr="00BD57E2">
              <w:rPr>
                <w:color w:val="010000"/>
                <w:szCs w:val="19"/>
              </w:rPr>
              <w:t>Üye</w:t>
            </w:r>
          </w:p>
          <w:p w:rsidR="00BD57E2" w:rsidRPr="00BD57E2" w:rsidRDefault="00BD57E2" w:rsidP="00BD57E2">
            <w:pPr>
              <w:spacing w:before="240" w:after="240"/>
              <w:jc w:val="center"/>
              <w:rPr>
                <w:color w:val="010000"/>
                <w:szCs w:val="19"/>
                <w:lang w:eastAsia="en-US"/>
              </w:rPr>
            </w:pPr>
            <w:r w:rsidRPr="00BD57E2">
              <w:rPr>
                <w:color w:val="010000"/>
                <w:szCs w:val="19"/>
              </w:rPr>
              <w:t xml:space="preserve"> Osman </w:t>
            </w:r>
            <w:proofErr w:type="spellStart"/>
            <w:r w:rsidRPr="00BD57E2">
              <w:rPr>
                <w:color w:val="010000"/>
                <w:szCs w:val="19"/>
              </w:rPr>
              <w:t>Alifeyyaz</w:t>
            </w:r>
            <w:proofErr w:type="spellEnd"/>
            <w:r w:rsidRPr="00BD57E2">
              <w:rPr>
                <w:color w:val="010000"/>
                <w:szCs w:val="19"/>
              </w:rPr>
              <w:t xml:space="preserve"> PAKSÜT</w:t>
            </w:r>
          </w:p>
        </w:tc>
        <w:tc>
          <w:tcPr>
            <w:tcW w:w="1748" w:type="pct"/>
            <w:hideMark/>
          </w:tcPr>
          <w:p w:rsidR="00BD57E2" w:rsidRPr="00BD57E2" w:rsidRDefault="00BD57E2" w:rsidP="00BD57E2">
            <w:pPr>
              <w:spacing w:before="240" w:after="240"/>
              <w:jc w:val="center"/>
              <w:rPr>
                <w:rFonts w:eastAsia="Calibri"/>
                <w:color w:val="010000"/>
                <w:szCs w:val="19"/>
                <w:lang w:eastAsia="en-US"/>
              </w:rPr>
            </w:pPr>
            <w:r w:rsidRPr="00BD57E2">
              <w:rPr>
                <w:color w:val="010000"/>
                <w:szCs w:val="19"/>
              </w:rPr>
              <w:t>Üye</w:t>
            </w:r>
          </w:p>
          <w:p w:rsidR="00BD57E2" w:rsidRPr="00BD57E2" w:rsidRDefault="00BD57E2" w:rsidP="00BD57E2">
            <w:pPr>
              <w:spacing w:before="240" w:after="240"/>
              <w:jc w:val="center"/>
              <w:rPr>
                <w:color w:val="010000"/>
                <w:szCs w:val="19"/>
                <w:lang w:eastAsia="en-US"/>
              </w:rPr>
            </w:pPr>
            <w:r w:rsidRPr="00BD57E2">
              <w:rPr>
                <w:color w:val="010000"/>
                <w:szCs w:val="19"/>
              </w:rPr>
              <w:t xml:space="preserve"> Recep KÖMÜRCÜ</w:t>
            </w:r>
          </w:p>
        </w:tc>
        <w:tc>
          <w:tcPr>
            <w:tcW w:w="1553" w:type="pct"/>
            <w:hideMark/>
          </w:tcPr>
          <w:p w:rsidR="00BD57E2" w:rsidRPr="00BD57E2" w:rsidRDefault="00BD57E2" w:rsidP="00BD57E2">
            <w:pPr>
              <w:spacing w:before="240" w:after="240"/>
              <w:jc w:val="center"/>
              <w:rPr>
                <w:rFonts w:eastAsia="Calibri"/>
                <w:color w:val="010000"/>
                <w:szCs w:val="19"/>
                <w:lang w:eastAsia="en-US"/>
              </w:rPr>
            </w:pPr>
            <w:r w:rsidRPr="00BD57E2">
              <w:rPr>
                <w:color w:val="010000"/>
                <w:szCs w:val="19"/>
              </w:rPr>
              <w:t>Üye</w:t>
            </w:r>
          </w:p>
          <w:p w:rsidR="00BD57E2" w:rsidRPr="00BD57E2" w:rsidRDefault="00BD57E2" w:rsidP="00BD57E2">
            <w:pPr>
              <w:spacing w:before="240" w:after="240"/>
              <w:jc w:val="center"/>
              <w:rPr>
                <w:color w:val="010000"/>
                <w:szCs w:val="19"/>
                <w:lang w:eastAsia="en-US"/>
              </w:rPr>
            </w:pPr>
            <w:r w:rsidRPr="00BD57E2">
              <w:rPr>
                <w:color w:val="010000"/>
                <w:szCs w:val="19"/>
              </w:rPr>
              <w:t>Engin YILDIRIM</w:t>
            </w:r>
            <w:r w:rsidRPr="00BD57E2">
              <w:rPr>
                <w:color w:val="010000"/>
                <w:szCs w:val="19"/>
              </w:rPr>
              <w:t xml:space="preserve"> </w:t>
            </w:r>
          </w:p>
        </w:tc>
      </w:tr>
      <w:tr w:rsidR="00BD57E2" w:rsidRPr="00BD57E2" w:rsidTr="00BD57E2">
        <w:trPr>
          <w:jc w:val="center"/>
        </w:trPr>
        <w:tc>
          <w:tcPr>
            <w:tcW w:w="1699" w:type="pct"/>
            <w:hideMark/>
          </w:tcPr>
          <w:p w:rsidR="00BD57E2" w:rsidRPr="00BD57E2" w:rsidRDefault="00BD57E2" w:rsidP="00BD57E2">
            <w:pPr>
              <w:spacing w:before="240" w:after="240"/>
              <w:jc w:val="center"/>
              <w:rPr>
                <w:rFonts w:eastAsia="Calibri"/>
                <w:color w:val="010000"/>
                <w:szCs w:val="19"/>
                <w:lang w:eastAsia="en-US"/>
              </w:rPr>
            </w:pPr>
            <w:r w:rsidRPr="00BD57E2">
              <w:rPr>
                <w:color w:val="010000"/>
                <w:szCs w:val="19"/>
              </w:rPr>
              <w:t>Üye</w:t>
            </w:r>
          </w:p>
          <w:p w:rsidR="00BD57E2" w:rsidRPr="00BD57E2" w:rsidRDefault="00BD57E2" w:rsidP="00BD57E2">
            <w:pPr>
              <w:spacing w:before="240" w:after="240"/>
              <w:jc w:val="center"/>
              <w:rPr>
                <w:color w:val="010000"/>
                <w:szCs w:val="19"/>
                <w:lang w:eastAsia="en-US"/>
              </w:rPr>
            </w:pPr>
            <w:r w:rsidRPr="00BD57E2">
              <w:rPr>
                <w:color w:val="010000"/>
                <w:szCs w:val="19"/>
              </w:rPr>
              <w:t>Nuri NECİPOĞLU</w:t>
            </w:r>
          </w:p>
        </w:tc>
        <w:tc>
          <w:tcPr>
            <w:tcW w:w="1748" w:type="pct"/>
            <w:hideMark/>
          </w:tcPr>
          <w:p w:rsidR="00BD57E2" w:rsidRPr="00BD57E2" w:rsidRDefault="00BD57E2" w:rsidP="00BD57E2">
            <w:pPr>
              <w:spacing w:before="240" w:after="240"/>
              <w:jc w:val="center"/>
              <w:rPr>
                <w:rFonts w:eastAsia="Calibri"/>
                <w:color w:val="010000"/>
                <w:szCs w:val="19"/>
                <w:lang w:eastAsia="en-US"/>
              </w:rPr>
            </w:pPr>
            <w:r w:rsidRPr="00BD57E2">
              <w:rPr>
                <w:color w:val="010000"/>
                <w:szCs w:val="19"/>
              </w:rPr>
              <w:t>Üye</w:t>
            </w:r>
          </w:p>
          <w:p w:rsidR="00BD57E2" w:rsidRPr="00BD57E2" w:rsidRDefault="00BD57E2" w:rsidP="00BD57E2">
            <w:pPr>
              <w:spacing w:before="240" w:after="240"/>
              <w:jc w:val="center"/>
              <w:rPr>
                <w:color w:val="010000"/>
                <w:szCs w:val="19"/>
                <w:lang w:eastAsia="en-US"/>
              </w:rPr>
            </w:pPr>
            <w:proofErr w:type="spellStart"/>
            <w:r w:rsidRPr="00BD57E2">
              <w:rPr>
                <w:color w:val="010000"/>
                <w:szCs w:val="19"/>
              </w:rPr>
              <w:t>Hicabi</w:t>
            </w:r>
            <w:proofErr w:type="spellEnd"/>
            <w:r w:rsidRPr="00BD57E2">
              <w:rPr>
                <w:color w:val="010000"/>
                <w:szCs w:val="19"/>
              </w:rPr>
              <w:t xml:space="preserve"> DURSUN</w:t>
            </w:r>
          </w:p>
        </w:tc>
        <w:tc>
          <w:tcPr>
            <w:tcW w:w="1553" w:type="pct"/>
            <w:hideMark/>
          </w:tcPr>
          <w:p w:rsidR="00BD57E2" w:rsidRPr="00BD57E2" w:rsidRDefault="00BD57E2" w:rsidP="00BD57E2">
            <w:pPr>
              <w:spacing w:before="240" w:after="240"/>
              <w:jc w:val="center"/>
              <w:rPr>
                <w:rFonts w:eastAsia="Calibri"/>
                <w:color w:val="010000"/>
                <w:szCs w:val="19"/>
                <w:lang w:eastAsia="en-US"/>
              </w:rPr>
            </w:pPr>
            <w:r w:rsidRPr="00BD57E2">
              <w:rPr>
                <w:color w:val="010000"/>
                <w:szCs w:val="19"/>
              </w:rPr>
              <w:t>Üye</w:t>
            </w:r>
          </w:p>
          <w:p w:rsidR="00BD57E2" w:rsidRPr="00BD57E2" w:rsidRDefault="00BD57E2" w:rsidP="00BD57E2">
            <w:pPr>
              <w:spacing w:before="240" w:after="240"/>
              <w:jc w:val="center"/>
              <w:rPr>
                <w:color w:val="010000"/>
                <w:szCs w:val="19"/>
                <w:lang w:eastAsia="en-US"/>
              </w:rPr>
            </w:pPr>
            <w:r w:rsidRPr="00BD57E2">
              <w:rPr>
                <w:color w:val="010000"/>
                <w:szCs w:val="19"/>
              </w:rPr>
              <w:t>Celal Mümtaz AKINCI</w:t>
            </w:r>
          </w:p>
        </w:tc>
      </w:tr>
      <w:tr w:rsidR="00BD57E2" w:rsidRPr="00BD57E2" w:rsidTr="00BD57E2">
        <w:trPr>
          <w:jc w:val="center"/>
        </w:trPr>
        <w:tc>
          <w:tcPr>
            <w:tcW w:w="1699" w:type="pct"/>
            <w:hideMark/>
          </w:tcPr>
          <w:p w:rsidR="00BD57E2" w:rsidRPr="00BD57E2" w:rsidRDefault="00BD57E2" w:rsidP="00BD57E2">
            <w:pPr>
              <w:spacing w:before="240" w:after="240"/>
              <w:jc w:val="center"/>
              <w:rPr>
                <w:rFonts w:eastAsia="Calibri"/>
                <w:color w:val="010000"/>
                <w:szCs w:val="19"/>
                <w:lang w:eastAsia="en-US"/>
              </w:rPr>
            </w:pPr>
            <w:r w:rsidRPr="00BD57E2">
              <w:rPr>
                <w:color w:val="010000"/>
                <w:szCs w:val="19"/>
              </w:rPr>
              <w:lastRenderedPageBreak/>
              <w:t>Üye</w:t>
            </w:r>
          </w:p>
          <w:p w:rsidR="00BD57E2" w:rsidRPr="00BD57E2" w:rsidRDefault="00BD57E2" w:rsidP="00BD57E2">
            <w:pPr>
              <w:spacing w:before="240" w:after="240"/>
              <w:jc w:val="center"/>
              <w:rPr>
                <w:color w:val="010000"/>
                <w:szCs w:val="19"/>
                <w:lang w:eastAsia="en-US"/>
              </w:rPr>
            </w:pPr>
            <w:r w:rsidRPr="00BD57E2">
              <w:rPr>
                <w:color w:val="010000"/>
                <w:szCs w:val="19"/>
              </w:rPr>
              <w:t>Erdal TERCAN</w:t>
            </w:r>
          </w:p>
        </w:tc>
        <w:tc>
          <w:tcPr>
            <w:tcW w:w="1748" w:type="pct"/>
            <w:hideMark/>
          </w:tcPr>
          <w:p w:rsidR="00BD57E2" w:rsidRPr="00BD57E2" w:rsidRDefault="00BD57E2" w:rsidP="00BD57E2">
            <w:pPr>
              <w:spacing w:before="240" w:after="240"/>
              <w:jc w:val="center"/>
              <w:rPr>
                <w:rFonts w:eastAsia="Calibri"/>
                <w:color w:val="010000"/>
                <w:szCs w:val="19"/>
                <w:lang w:eastAsia="en-US"/>
              </w:rPr>
            </w:pPr>
            <w:r w:rsidRPr="00BD57E2">
              <w:rPr>
                <w:color w:val="010000"/>
                <w:szCs w:val="19"/>
              </w:rPr>
              <w:t>Üye</w:t>
            </w:r>
          </w:p>
          <w:p w:rsidR="00BD57E2" w:rsidRPr="00BD57E2" w:rsidRDefault="00BD57E2" w:rsidP="00BD57E2">
            <w:pPr>
              <w:spacing w:before="240" w:after="240"/>
              <w:jc w:val="center"/>
              <w:rPr>
                <w:color w:val="010000"/>
                <w:szCs w:val="19"/>
                <w:lang w:eastAsia="en-US"/>
              </w:rPr>
            </w:pPr>
            <w:r w:rsidRPr="00BD57E2">
              <w:rPr>
                <w:color w:val="010000"/>
                <w:szCs w:val="19"/>
              </w:rPr>
              <w:t>Muammer TOPAL</w:t>
            </w:r>
          </w:p>
        </w:tc>
        <w:tc>
          <w:tcPr>
            <w:tcW w:w="1553" w:type="pct"/>
            <w:hideMark/>
          </w:tcPr>
          <w:p w:rsidR="00BD57E2" w:rsidRPr="00BD57E2" w:rsidRDefault="00BD57E2" w:rsidP="00BD57E2">
            <w:pPr>
              <w:spacing w:before="240" w:after="240"/>
              <w:jc w:val="center"/>
              <w:rPr>
                <w:rFonts w:eastAsia="Calibri"/>
                <w:color w:val="010000"/>
                <w:szCs w:val="19"/>
                <w:lang w:eastAsia="en-US"/>
              </w:rPr>
            </w:pPr>
            <w:r w:rsidRPr="00BD57E2">
              <w:rPr>
                <w:color w:val="010000"/>
                <w:szCs w:val="19"/>
              </w:rPr>
              <w:t>Üye</w:t>
            </w:r>
          </w:p>
          <w:p w:rsidR="00BD57E2" w:rsidRPr="00BD57E2" w:rsidRDefault="00BD57E2" w:rsidP="00BD57E2">
            <w:pPr>
              <w:spacing w:before="240" w:after="240"/>
              <w:jc w:val="center"/>
              <w:rPr>
                <w:color w:val="010000"/>
                <w:szCs w:val="19"/>
                <w:lang w:eastAsia="en-US"/>
              </w:rPr>
            </w:pPr>
            <w:r w:rsidRPr="00BD57E2">
              <w:rPr>
                <w:color w:val="010000"/>
                <w:szCs w:val="19"/>
              </w:rPr>
              <w:t>M. Emin KUZ</w:t>
            </w:r>
          </w:p>
        </w:tc>
      </w:tr>
      <w:tr w:rsidR="00BD57E2" w:rsidRPr="00BD57E2" w:rsidTr="00BD57E2">
        <w:trPr>
          <w:jc w:val="center"/>
        </w:trPr>
        <w:tc>
          <w:tcPr>
            <w:tcW w:w="1699" w:type="pct"/>
            <w:hideMark/>
          </w:tcPr>
          <w:p w:rsidR="00BD57E2" w:rsidRPr="00BD57E2" w:rsidRDefault="00BD57E2" w:rsidP="00BD57E2">
            <w:pPr>
              <w:spacing w:before="240" w:after="240"/>
              <w:jc w:val="center"/>
              <w:rPr>
                <w:rFonts w:eastAsia="Calibri"/>
                <w:color w:val="010000"/>
                <w:szCs w:val="19"/>
                <w:lang w:eastAsia="en-US"/>
              </w:rPr>
            </w:pPr>
            <w:r w:rsidRPr="00BD57E2">
              <w:rPr>
                <w:color w:val="010000"/>
                <w:szCs w:val="19"/>
              </w:rPr>
              <w:t>Üye</w:t>
            </w:r>
          </w:p>
          <w:p w:rsidR="00BD57E2" w:rsidRPr="00BD57E2" w:rsidRDefault="00BD57E2" w:rsidP="00BD57E2">
            <w:pPr>
              <w:spacing w:before="240" w:after="240"/>
              <w:jc w:val="center"/>
              <w:rPr>
                <w:color w:val="010000"/>
                <w:szCs w:val="19"/>
                <w:lang w:eastAsia="en-US"/>
              </w:rPr>
            </w:pPr>
            <w:r w:rsidRPr="00BD57E2">
              <w:rPr>
                <w:color w:val="010000"/>
                <w:szCs w:val="19"/>
              </w:rPr>
              <w:t>Hasan Tahsin GÖKCAN</w:t>
            </w:r>
          </w:p>
        </w:tc>
        <w:tc>
          <w:tcPr>
            <w:tcW w:w="1748" w:type="pct"/>
            <w:hideMark/>
          </w:tcPr>
          <w:p w:rsidR="00BD57E2" w:rsidRPr="00BD57E2" w:rsidRDefault="00BD57E2" w:rsidP="00BD57E2">
            <w:pPr>
              <w:spacing w:before="240" w:after="240"/>
              <w:jc w:val="center"/>
              <w:rPr>
                <w:rFonts w:eastAsia="Calibri"/>
                <w:color w:val="010000"/>
                <w:szCs w:val="19"/>
                <w:lang w:eastAsia="en-US"/>
              </w:rPr>
            </w:pPr>
            <w:r w:rsidRPr="00BD57E2">
              <w:rPr>
                <w:color w:val="010000"/>
                <w:szCs w:val="19"/>
              </w:rPr>
              <w:t>Üye</w:t>
            </w:r>
          </w:p>
          <w:p w:rsidR="00BD57E2" w:rsidRPr="00BD57E2" w:rsidRDefault="00BD57E2" w:rsidP="00BD57E2">
            <w:pPr>
              <w:spacing w:before="240" w:after="240"/>
              <w:jc w:val="center"/>
              <w:rPr>
                <w:color w:val="010000"/>
                <w:szCs w:val="19"/>
                <w:lang w:eastAsia="en-US"/>
              </w:rPr>
            </w:pPr>
            <w:r w:rsidRPr="00BD57E2">
              <w:rPr>
                <w:color w:val="010000"/>
                <w:szCs w:val="19"/>
              </w:rPr>
              <w:t>Kadir ÖZKAYA</w:t>
            </w:r>
          </w:p>
        </w:tc>
        <w:tc>
          <w:tcPr>
            <w:tcW w:w="1553" w:type="pct"/>
            <w:hideMark/>
          </w:tcPr>
          <w:p w:rsidR="00BD57E2" w:rsidRPr="00BD57E2" w:rsidRDefault="00BD57E2" w:rsidP="00BD57E2">
            <w:pPr>
              <w:spacing w:before="240" w:after="240"/>
              <w:jc w:val="center"/>
              <w:rPr>
                <w:rFonts w:eastAsia="Calibri"/>
                <w:color w:val="010000"/>
                <w:szCs w:val="19"/>
                <w:lang w:eastAsia="en-US"/>
              </w:rPr>
            </w:pPr>
            <w:r w:rsidRPr="00BD57E2">
              <w:rPr>
                <w:color w:val="010000"/>
                <w:szCs w:val="19"/>
              </w:rPr>
              <w:t>Üye</w:t>
            </w:r>
          </w:p>
          <w:p w:rsidR="00BD57E2" w:rsidRPr="00BD57E2" w:rsidRDefault="00BD57E2" w:rsidP="00BD57E2">
            <w:pPr>
              <w:spacing w:before="240" w:after="240"/>
              <w:jc w:val="center"/>
              <w:rPr>
                <w:color w:val="010000"/>
                <w:szCs w:val="19"/>
                <w:lang w:eastAsia="en-US"/>
              </w:rPr>
            </w:pPr>
            <w:r w:rsidRPr="00BD57E2">
              <w:rPr>
                <w:color w:val="010000"/>
                <w:szCs w:val="19"/>
              </w:rPr>
              <w:t>Rıdvan GÜLEÇ</w:t>
            </w:r>
          </w:p>
        </w:tc>
      </w:tr>
    </w:tbl>
    <w:p w:rsidR="00BD57E2" w:rsidRPr="00BD57E2" w:rsidRDefault="00BD57E2" w:rsidP="00BD57E2">
      <w:pPr>
        <w:spacing w:after="200"/>
        <w:ind w:right="283" w:firstLine="709"/>
        <w:jc w:val="both"/>
        <w:rPr>
          <w:color w:val="010000"/>
          <w:szCs w:val="19"/>
        </w:rPr>
      </w:pPr>
    </w:p>
    <w:sectPr w:rsidR="00BD57E2" w:rsidRPr="00BD57E2" w:rsidSect="00BD57E2">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065C5" w:rsidRDefault="009065C5" w:rsidP="00BD57E2">
      <w:r>
        <w:separator/>
      </w:r>
    </w:p>
  </w:endnote>
  <w:endnote w:type="continuationSeparator" w:id="0">
    <w:p w:rsidR="009065C5" w:rsidRDefault="009065C5" w:rsidP="00BD57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57E2" w:rsidRDefault="00BD57E2" w:rsidP="00416018">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BD57E2" w:rsidRDefault="00BD57E2" w:rsidP="00BD57E2">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57E2" w:rsidRPr="00BD57E2" w:rsidRDefault="00BD57E2" w:rsidP="00416018">
    <w:pPr>
      <w:pStyle w:val="AltBilgi"/>
      <w:framePr w:wrap="around" w:vAnchor="text" w:hAnchor="margin" w:xAlign="right" w:y="1"/>
      <w:rPr>
        <w:rStyle w:val="SayfaNumaras"/>
      </w:rPr>
    </w:pPr>
    <w:r w:rsidRPr="00BD57E2">
      <w:rPr>
        <w:rStyle w:val="SayfaNumaras"/>
      </w:rPr>
      <w:fldChar w:fldCharType="begin"/>
    </w:r>
    <w:r w:rsidRPr="00BD57E2">
      <w:rPr>
        <w:rStyle w:val="SayfaNumaras"/>
      </w:rPr>
      <w:instrText xml:space="preserve"> PAGE </w:instrText>
    </w:r>
    <w:r w:rsidRPr="00BD57E2">
      <w:rPr>
        <w:rStyle w:val="SayfaNumaras"/>
      </w:rPr>
      <w:fldChar w:fldCharType="separate"/>
    </w:r>
    <w:r w:rsidRPr="00BD57E2">
      <w:rPr>
        <w:rStyle w:val="SayfaNumaras"/>
        <w:noProof/>
      </w:rPr>
      <w:t>1</w:t>
    </w:r>
    <w:r w:rsidRPr="00BD57E2">
      <w:rPr>
        <w:rStyle w:val="SayfaNumaras"/>
      </w:rPr>
      <w:fldChar w:fldCharType="end"/>
    </w:r>
  </w:p>
  <w:p w:rsidR="00720155" w:rsidRDefault="009065C5" w:rsidP="00BD57E2">
    <w:pPr>
      <w:pStyle w:val="a"/>
      <w:ind w:right="360"/>
      <w:jc w:val="center"/>
    </w:pPr>
  </w:p>
  <w:p w:rsidR="00720155" w:rsidRDefault="009065C5">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065C5" w:rsidRDefault="009065C5" w:rsidP="00BD57E2">
      <w:r>
        <w:separator/>
      </w:r>
    </w:p>
  </w:footnote>
  <w:footnote w:type="continuationSeparator" w:id="0">
    <w:p w:rsidR="009065C5" w:rsidRDefault="009065C5" w:rsidP="00BD57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57E2" w:rsidRPr="00BD57E2" w:rsidRDefault="00BD57E2" w:rsidP="00BD57E2">
    <w:pPr>
      <w:pStyle w:val="stBilgi"/>
      <w:rPr>
        <w:b/>
      </w:rPr>
    </w:pPr>
    <w:r w:rsidRPr="00BD57E2">
      <w:rPr>
        <w:b/>
      </w:rPr>
      <w:t>Esas Sayısı:2014/25 (Siyasi Parti Mali Denetimi)</w:t>
    </w:r>
  </w:p>
  <w:p w:rsidR="00BD57E2" w:rsidRDefault="00BD57E2" w:rsidP="00BD57E2">
    <w:pPr>
      <w:pStyle w:val="stBilgi"/>
      <w:rPr>
        <w:b/>
      </w:rPr>
    </w:pPr>
    <w:r>
      <w:rPr>
        <w:b/>
      </w:rPr>
      <w:t>Karar Sayısı:2015/77</w:t>
    </w:r>
  </w:p>
  <w:p w:rsidR="00720155" w:rsidRPr="00BD57E2" w:rsidRDefault="009065C5" w:rsidP="00BD57E2">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57E2"/>
    <w:rsid w:val="009065C5"/>
    <w:rsid w:val="00BD57E2"/>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DB5D20"/>
  <w15:chartTrackingRefBased/>
  <w15:docId w15:val="{9C0AD8FA-56E3-4EEF-ADD6-C489A77690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D57E2"/>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BD57E2"/>
    <w:pPr>
      <w:tabs>
        <w:tab w:val="center" w:pos="4536"/>
        <w:tab w:val="right" w:pos="9072"/>
      </w:tabs>
    </w:pPr>
  </w:style>
  <w:style w:type="character" w:customStyle="1" w:styleId="AltbilgiChar">
    <w:name w:val="Altbilgi Char"/>
    <w:link w:val="a"/>
    <w:uiPriority w:val="99"/>
    <w:rsid w:val="00BD57E2"/>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BD57E2"/>
    <w:pPr>
      <w:tabs>
        <w:tab w:val="center" w:pos="4536"/>
        <w:tab w:val="right" w:pos="9072"/>
      </w:tabs>
    </w:pPr>
  </w:style>
  <w:style w:type="character" w:customStyle="1" w:styleId="AltBilgiChar0">
    <w:name w:val="Alt Bilgi Char"/>
    <w:basedOn w:val="VarsaylanParagrafYazTipi"/>
    <w:link w:val="AltBilgi"/>
    <w:uiPriority w:val="99"/>
    <w:rsid w:val="00BD57E2"/>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BD57E2"/>
    <w:pPr>
      <w:tabs>
        <w:tab w:val="center" w:pos="4536"/>
        <w:tab w:val="right" w:pos="9072"/>
      </w:tabs>
    </w:pPr>
  </w:style>
  <w:style w:type="character" w:customStyle="1" w:styleId="stBilgiChar">
    <w:name w:val="Üst Bilgi Char"/>
    <w:basedOn w:val="VarsaylanParagrafYazTipi"/>
    <w:link w:val="stBilgi"/>
    <w:uiPriority w:val="99"/>
    <w:rsid w:val="00BD57E2"/>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BD57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1198</Words>
  <Characters>6831</Characters>
  <Application>Microsoft Office Word</Application>
  <DocSecurity>0</DocSecurity>
  <Lines>56</Lines>
  <Paragraphs>16</Paragraphs>
  <ScaleCrop>false</ScaleCrop>
  <Company/>
  <LinksUpToDate>false</LinksUpToDate>
  <CharactersWithSpaces>8013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2020-06-16T19:02:00Z</dcterms:created>
  <dcterms:modified xsi:type="dcterms:W3CDTF">2020-06-16T19:03:00Z</dcterms:modified>
</cp:coreProperties>
</file>