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E2CA0" w:rsidRDefault="000E2CA0" w:rsidP="000E2CA0">
      <w:pPr>
        <w:spacing w:after="200"/>
        <w:ind w:right="283"/>
        <w:jc w:val="center"/>
        <w:rPr>
          <w:b/>
          <w:caps/>
          <w:color w:val="010000"/>
          <w:szCs w:val="30"/>
          <w:lang w:eastAsia="zh-CN"/>
        </w:rPr>
      </w:pPr>
      <w:r w:rsidRPr="000E2CA0">
        <w:rPr>
          <w:b/>
          <w:bCs/>
          <w:caps/>
          <w:color w:val="010000"/>
          <w:szCs w:val="30"/>
          <w:lang w:eastAsia="zh-CN"/>
        </w:rPr>
        <w:t>ANAYASA MAHKEMESİ KARARI</w:t>
      </w:r>
      <w:r w:rsidRPr="000E2CA0">
        <w:rPr>
          <w:b/>
          <w:caps/>
          <w:color w:val="010000"/>
          <w:szCs w:val="30"/>
          <w:lang w:eastAsia="zh-CN"/>
        </w:rPr>
        <w:t xml:space="preserve"> </w:t>
      </w:r>
    </w:p>
    <w:p w:rsidR="000E2CA0" w:rsidRPr="000E2CA0" w:rsidRDefault="000E2CA0" w:rsidP="000E2CA0">
      <w:pPr>
        <w:spacing w:after="200"/>
        <w:ind w:right="283" w:firstLine="709"/>
        <w:jc w:val="center"/>
        <w:rPr>
          <w:b/>
          <w:caps/>
          <w:color w:val="010000"/>
          <w:szCs w:val="30"/>
          <w:lang w:eastAsia="zh-CN"/>
        </w:rPr>
      </w:pPr>
    </w:p>
    <w:p w:rsidR="000E2CA0" w:rsidRDefault="000E2CA0" w:rsidP="000E2CA0">
      <w:pPr>
        <w:rPr>
          <w:b/>
          <w:bCs/>
          <w:color w:val="010000"/>
          <w:szCs w:val="22"/>
          <w:lang w:eastAsia="zh-CN"/>
        </w:rPr>
      </w:pPr>
      <w:r>
        <w:rPr>
          <w:b/>
          <w:bCs/>
          <w:color w:val="010000"/>
          <w:szCs w:val="22"/>
          <w:lang w:eastAsia="zh-CN"/>
        </w:rPr>
        <w:t>Esas Sayısı:2014/20 (Siyasi Parti Mali Denetimi)</w:t>
      </w:r>
    </w:p>
    <w:p w:rsidR="000E2CA0" w:rsidRDefault="000E2CA0" w:rsidP="000E2CA0">
      <w:pPr>
        <w:rPr>
          <w:b/>
          <w:color w:val="010000"/>
          <w:szCs w:val="22"/>
        </w:rPr>
      </w:pPr>
      <w:r>
        <w:rPr>
          <w:b/>
          <w:color w:val="010000"/>
          <w:szCs w:val="22"/>
        </w:rPr>
        <w:t>Karar Sayısı:2015/71</w:t>
      </w:r>
    </w:p>
    <w:p w:rsidR="000E2CA0" w:rsidRDefault="000E2CA0" w:rsidP="000E2CA0">
      <w:pPr>
        <w:rPr>
          <w:b/>
          <w:color w:val="010000"/>
          <w:szCs w:val="22"/>
        </w:rPr>
      </w:pPr>
      <w:r>
        <w:rPr>
          <w:b/>
          <w:color w:val="010000"/>
          <w:szCs w:val="22"/>
        </w:rPr>
        <w:t>Karar Tarihi:1.7.2015</w:t>
      </w:r>
    </w:p>
    <w:p w:rsidR="000E2CA0" w:rsidRDefault="000E2CA0" w:rsidP="000E2CA0">
      <w:pPr>
        <w:rPr>
          <w:b/>
          <w:color w:val="010000"/>
          <w:szCs w:val="22"/>
        </w:rPr>
      </w:pPr>
      <w:r>
        <w:rPr>
          <w:b/>
          <w:color w:val="010000"/>
          <w:szCs w:val="22"/>
        </w:rPr>
        <w:t>R.G. Tarih-Sayı:18.11.2015-29536</w:t>
      </w:r>
    </w:p>
    <w:p w:rsidR="000E2CA0" w:rsidRPr="000E2CA0" w:rsidRDefault="000E2CA0" w:rsidP="000E2CA0">
      <w:pPr>
        <w:rPr>
          <w:b/>
          <w:color w:val="010000"/>
          <w:szCs w:val="22"/>
        </w:rPr>
      </w:pPr>
    </w:p>
    <w:p w:rsidR="000E2CA0" w:rsidRPr="000E2CA0" w:rsidRDefault="000E2CA0" w:rsidP="000E2CA0">
      <w:pPr>
        <w:spacing w:after="200"/>
        <w:ind w:right="283" w:firstLine="709"/>
        <w:jc w:val="both"/>
        <w:rPr>
          <w:color w:val="010000"/>
          <w:szCs w:val="22"/>
          <w:lang w:eastAsia="zh-CN"/>
        </w:rPr>
      </w:pPr>
      <w:r w:rsidRPr="000E2CA0">
        <w:rPr>
          <w:b/>
          <w:bCs/>
          <w:color w:val="010000"/>
          <w:szCs w:val="22"/>
          <w:lang w:eastAsia="zh-CN"/>
        </w:rPr>
        <w:t>I- MALİ DENETİMİN KONUSU</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Hak ve Eşitlik Partisi 2013 yılı kesin hesabının incelenmesidir.</w:t>
      </w:r>
    </w:p>
    <w:p w:rsidR="000E2CA0" w:rsidRPr="000E2CA0" w:rsidRDefault="000E2CA0" w:rsidP="000E2CA0">
      <w:pPr>
        <w:spacing w:after="200"/>
        <w:ind w:right="283" w:firstLine="709"/>
        <w:jc w:val="both"/>
        <w:rPr>
          <w:b/>
          <w:bCs/>
          <w:color w:val="010000"/>
          <w:szCs w:val="22"/>
          <w:lang w:eastAsia="zh-CN"/>
        </w:rPr>
      </w:pPr>
      <w:r w:rsidRPr="000E2CA0">
        <w:rPr>
          <w:b/>
          <w:bCs/>
          <w:color w:val="010000"/>
          <w:szCs w:val="22"/>
          <w:lang w:eastAsia="zh-CN"/>
        </w:rPr>
        <w:t>II- İLK İNCELEME</w:t>
      </w:r>
    </w:p>
    <w:p w:rsidR="000E2CA0" w:rsidRPr="000E2CA0" w:rsidRDefault="000E2CA0" w:rsidP="000E2CA0">
      <w:pPr>
        <w:spacing w:after="200"/>
        <w:ind w:right="283" w:firstLine="709"/>
        <w:jc w:val="both"/>
        <w:rPr>
          <w:b/>
          <w:i/>
          <w:color w:val="010000"/>
          <w:szCs w:val="19"/>
          <w:lang w:eastAsia="zh-CN"/>
        </w:rPr>
      </w:pPr>
      <w:r w:rsidRPr="000E2CA0">
        <w:rPr>
          <w:color w:val="010000"/>
          <w:szCs w:val="19"/>
          <w:lang w:eastAsia="zh-CN"/>
        </w:rPr>
        <w:t xml:space="preserve">1. Anayasa Mahkemesi İçtüzüğü hükümleri uyarınca </w:t>
      </w:r>
      <w:proofErr w:type="spellStart"/>
      <w:r w:rsidRPr="000E2CA0">
        <w:rPr>
          <w:color w:val="010000"/>
          <w:szCs w:val="19"/>
          <w:lang w:eastAsia="zh-CN"/>
        </w:rPr>
        <w:t>Serruh</w:t>
      </w:r>
      <w:proofErr w:type="spellEnd"/>
      <w:r w:rsidRPr="000E2CA0">
        <w:rPr>
          <w:color w:val="010000"/>
          <w:szCs w:val="19"/>
          <w:lang w:eastAsia="zh-CN"/>
        </w:rPr>
        <w:t xml:space="preserve"> KALELİ, Alparslan ALTAN, Serdar ÖZGÜLDÜR, Osman </w:t>
      </w:r>
      <w:proofErr w:type="spellStart"/>
      <w:r w:rsidRPr="000E2CA0">
        <w:rPr>
          <w:color w:val="010000"/>
          <w:szCs w:val="19"/>
          <w:lang w:eastAsia="zh-CN"/>
        </w:rPr>
        <w:t>Alifeyyaz</w:t>
      </w:r>
      <w:proofErr w:type="spellEnd"/>
      <w:r w:rsidRPr="000E2CA0">
        <w:rPr>
          <w:color w:val="010000"/>
          <w:szCs w:val="19"/>
          <w:lang w:eastAsia="zh-CN"/>
        </w:rPr>
        <w:t xml:space="preserve"> PAKSÜT, Recep KÖMÜRCÜ, Burhan ÜSTÜN, Engin YILDIRIM, Nuri NECİPOĞLU, </w:t>
      </w:r>
      <w:proofErr w:type="spellStart"/>
      <w:r w:rsidRPr="000E2CA0">
        <w:rPr>
          <w:color w:val="010000"/>
          <w:szCs w:val="19"/>
          <w:lang w:eastAsia="zh-CN"/>
        </w:rPr>
        <w:t>Hicabi</w:t>
      </w:r>
      <w:proofErr w:type="spellEnd"/>
      <w:r w:rsidRPr="000E2CA0">
        <w:rPr>
          <w:color w:val="010000"/>
          <w:szCs w:val="19"/>
          <w:lang w:eastAsia="zh-CN"/>
        </w:rPr>
        <w:t xml:space="preserve"> DURSUN, Celal Mümtaz AKINCI, Erdal TERCAN, Muammer TOPAL, Zühtü ARSLAN, M. Emin KUZ ve Hasan Tahsin </w:t>
      </w:r>
      <w:proofErr w:type="spellStart"/>
      <w:r w:rsidRPr="000E2CA0">
        <w:rPr>
          <w:color w:val="010000"/>
          <w:szCs w:val="19"/>
          <w:lang w:eastAsia="zh-CN"/>
        </w:rPr>
        <w:t>GÖKCAN’ın</w:t>
      </w:r>
      <w:proofErr w:type="spellEnd"/>
      <w:r w:rsidRPr="000E2CA0">
        <w:rPr>
          <w:color w:val="010000"/>
          <w:szCs w:val="19"/>
          <w:lang w:eastAsia="zh-CN"/>
        </w:rPr>
        <w:t xml:space="preserve"> katılımlarıyla 17.12.2014 tarihinde yapılan ilk inceleme toplantısında öncelikle suç duyurusunda bulunulup bulunulmayacağı sorunu görüşülmüştür.</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 xml:space="preserve">2. 2820 sayılı Siyasi Partiler Kanunu’nun 73. maddesinin üçüncü fıkrasında </w:t>
      </w:r>
      <w:r w:rsidRPr="000E2CA0">
        <w:rPr>
          <w:i/>
          <w:color w:val="010000"/>
          <w:szCs w:val="19"/>
          <w:lang w:eastAsia="zh-CN"/>
        </w:rPr>
        <w:t xml:space="preserve">“İller teşkilatından gönderilenler ve parti merkezine ait olan kesin hesapların, Merkez Karar ve Yönetim Kurulunca incelenerek karara bağlanacağı” </w:t>
      </w:r>
      <w:r w:rsidRPr="000E2CA0">
        <w:rPr>
          <w:color w:val="010000"/>
          <w:szCs w:val="19"/>
          <w:lang w:eastAsia="zh-CN"/>
        </w:rPr>
        <w:t xml:space="preserve">öngörülmüş ve aynı Kanun’un 74. maddesinin ikinci fıkrasında da </w:t>
      </w:r>
      <w:r w:rsidRPr="000E2CA0">
        <w:rPr>
          <w:i/>
          <w:color w:val="010000"/>
          <w:szCs w:val="19"/>
          <w:lang w:eastAsia="zh-CN"/>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0E2CA0">
        <w:rPr>
          <w:color w:val="010000"/>
          <w:szCs w:val="19"/>
          <w:lang w:eastAsia="zh-CN"/>
        </w:rPr>
        <w:t xml:space="preserve"> denilerek il örgütlerinden gönderilen kesin hesaplar ile parti genel merkezine ilişkin kesin hesabın merkez karar ve yönetim kurulunca incelenerek karara bağlanacağı ve birleştirileceği, birleştirilmiş kesin hesap cetvellerinin Anayasa Mahkemesine sunulacağı hükme bağlanmıştır.</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3. Yargıtay Cumhuriyet Başsavcılığının göndermiş olduğu yazıya ekli listeye göre Hak ve Eşitlik Partisinin örgütlendiği belirtilen il örgütlerine ilişkin 2013 yılı kesin hesaplarının gönderilmediği tespit edilmiştir.</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4. 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5. Ayrıca, partilerin genel merkez, il, ilçe ve belde başkanlıklarının hayatın olağan akışı gereği kira, su, elektrik, posta, telefon, kırtasiye, tutulacak defterlerin satın alınması vb. bir takım genel yönetim giderlerini de yapması gerekir.</w:t>
      </w:r>
      <w:r w:rsidRPr="000E2CA0">
        <w:rPr>
          <w:color w:val="010000"/>
          <w:szCs w:val="19"/>
          <w:lang w:eastAsia="zh-CN"/>
        </w:rPr>
        <w:t xml:space="preserve"> </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 xml:space="preserve">6. 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yapılacağı; 111. maddesinin birinci fıkrasının (c) bendinde de yapılan inceleme ve araştırmaları </w:t>
      </w:r>
      <w:r w:rsidRPr="000E2CA0">
        <w:rPr>
          <w:color w:val="010000"/>
          <w:szCs w:val="19"/>
          <w:lang w:eastAsia="zh-CN"/>
        </w:rPr>
        <w:lastRenderedPageBreak/>
        <w:t>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tüzelkişiliği adına hesaplara dâhil etmesi gerekir.</w:t>
      </w:r>
      <w:r w:rsidRPr="000E2CA0">
        <w:rPr>
          <w:color w:val="010000"/>
          <w:szCs w:val="19"/>
          <w:lang w:eastAsia="zh-CN"/>
        </w:rPr>
        <w:t xml:space="preserve"> </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7. Yönetim giderlerinin hesaplarda görülmemesi kayıt dışı gelir ve gider oluşturulmuş olduğunu göstermektedir. Bu durumda, 2820 sayılı Kanun’un 69. ve 70. maddelerine aykırı davranılmış olmaktadır.</w:t>
      </w:r>
    </w:p>
    <w:p w:rsidR="000E2CA0" w:rsidRPr="000E2CA0" w:rsidRDefault="000E2CA0" w:rsidP="000E2CA0">
      <w:pPr>
        <w:spacing w:after="200"/>
        <w:ind w:right="283" w:firstLine="709"/>
        <w:jc w:val="both"/>
        <w:rPr>
          <w:b/>
          <w:color w:val="010000"/>
          <w:szCs w:val="19"/>
          <w:lang w:eastAsia="zh-CN"/>
        </w:rPr>
      </w:pPr>
      <w:r w:rsidRPr="000E2CA0">
        <w:rPr>
          <w:color w:val="010000"/>
          <w:szCs w:val="19"/>
          <w:lang w:eastAsia="zh-CN"/>
        </w:rPr>
        <w:t>8. 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0E2CA0" w:rsidRPr="000E2CA0" w:rsidRDefault="000E2CA0" w:rsidP="000E2CA0">
      <w:pPr>
        <w:spacing w:after="200"/>
        <w:ind w:right="283" w:firstLine="709"/>
        <w:jc w:val="both"/>
        <w:rPr>
          <w:b/>
          <w:color w:val="010000"/>
          <w:szCs w:val="19"/>
          <w:lang w:eastAsia="zh-CN"/>
        </w:rPr>
      </w:pPr>
      <w:r w:rsidRPr="000E2CA0">
        <w:rPr>
          <w:color w:val="010000"/>
          <w:szCs w:val="19"/>
          <w:lang w:eastAsia="zh-CN"/>
        </w:rPr>
        <w:t>9. Bu itibarla, Hak ve Eşitlik Partisinin 2013 yılı kesin hesabının incelenmesi sonucunda;</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1- Genel Merkeze ait Kesin hesapların sunulmasından dolayı işin esasının incelenmesine,</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2- Esas incelemenin yapılabilmesi amacıyla Genel Merkez kesin hesabının dayanağını oluşturan gelir-gider belgeleri ile bu belgelerin kaydedildiği defterleri Sayıştay Başkanlığına göndermesi için Partiye bu kararın tebliğinden itibaren 30 gün süre verilmesine,</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 xml:space="preserve">3-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w:t>
      </w:r>
      <w:proofErr w:type="gramStart"/>
      <w:r w:rsidRPr="000E2CA0">
        <w:rPr>
          <w:color w:val="010000"/>
          <w:szCs w:val="19"/>
          <w:lang w:eastAsia="zh-CN"/>
        </w:rPr>
        <w:t>hakkında</w:t>
      </w:r>
      <w:proofErr w:type="gramEnd"/>
      <w:r w:rsidRPr="000E2CA0">
        <w:rPr>
          <w:color w:val="010000"/>
          <w:szCs w:val="19"/>
          <w:lang w:eastAsia="zh-CN"/>
        </w:rPr>
        <w:t xml:space="preserve"> 2820 sayılı Kanun’un 111. maddesinin birinci fıkrasının (c) bendi uyarınca yasal işlem yapılması için Ankara Cumhuriyet Başsavcılığına suç duyurusunda bulunulmasına OYBİRLİĞİYLE karar verilmiştir. </w:t>
      </w:r>
    </w:p>
    <w:p w:rsidR="000E2CA0" w:rsidRPr="000E2CA0" w:rsidRDefault="000E2CA0" w:rsidP="000E2CA0">
      <w:pPr>
        <w:spacing w:after="200"/>
        <w:ind w:right="283" w:firstLine="709"/>
        <w:jc w:val="both"/>
        <w:rPr>
          <w:color w:val="010000"/>
          <w:szCs w:val="22"/>
          <w:lang w:eastAsia="zh-CN"/>
        </w:rPr>
      </w:pPr>
      <w:r w:rsidRPr="000E2CA0">
        <w:rPr>
          <w:b/>
          <w:bCs/>
          <w:color w:val="010000"/>
          <w:szCs w:val="22"/>
          <w:lang w:eastAsia="zh-CN"/>
        </w:rPr>
        <w:t>III- ESASIN İNCELENMESİ</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10. Hak ve Eşitlik Partisinin, Anayasa Mahkemesine verdiği 2013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Siyasi Partiler Kanunu’nun ilgili kuralları, bunların gerekçeleri ve diğer yasama belgeleri okunup incelendikten sonra gereği görüşülüp düşünüldü:</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11. Denetimin maddi öğelerini oluşturan defter ve belgelerde Partinin 2013 yılı gelirlerinin 272.673,68 TL, giderler toplamının 276.596,81 TL, gelecek yıla devreden nakit tutarının 9.835,78 TL olduğu anlaşılmaktadır.</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12. Partinin 2013 yılı kesin hesabının gelir ve gider rakamlarının yukarıda açıklanan tutarlardan oluştuğu, bu haliyle 2013 yılı kesin hesabının doğru, denk ve 2820 sayılı Kanun’a uygun olduğu sonucuna varılmıştır.</w:t>
      </w:r>
    </w:p>
    <w:p w:rsidR="000E2CA0" w:rsidRPr="000E2CA0" w:rsidRDefault="000E2CA0" w:rsidP="000E2CA0">
      <w:pPr>
        <w:spacing w:after="200"/>
        <w:ind w:right="283" w:firstLine="709"/>
        <w:jc w:val="both"/>
        <w:rPr>
          <w:color w:val="010000"/>
          <w:szCs w:val="22"/>
          <w:lang w:eastAsia="zh-CN"/>
        </w:rPr>
      </w:pPr>
      <w:r w:rsidRPr="000E2CA0">
        <w:rPr>
          <w:b/>
          <w:bCs/>
          <w:color w:val="010000"/>
          <w:szCs w:val="22"/>
          <w:lang w:eastAsia="zh-CN"/>
        </w:rPr>
        <w:t>A-</w:t>
      </w:r>
      <w:r w:rsidRPr="000E2CA0">
        <w:rPr>
          <w:color w:val="010000"/>
          <w:szCs w:val="22"/>
          <w:lang w:eastAsia="zh-CN"/>
        </w:rPr>
        <w:t xml:space="preserve"> </w:t>
      </w:r>
      <w:r w:rsidRPr="000E2CA0">
        <w:rPr>
          <w:b/>
          <w:bCs/>
          <w:color w:val="010000"/>
          <w:szCs w:val="22"/>
          <w:lang w:eastAsia="zh-CN"/>
        </w:rPr>
        <w:t>Gelirlerin İncelenmesi</w:t>
      </w:r>
    </w:p>
    <w:p w:rsidR="000E2CA0" w:rsidRPr="000E2CA0" w:rsidRDefault="000E2CA0" w:rsidP="000E2CA0">
      <w:pPr>
        <w:spacing w:after="200"/>
        <w:ind w:right="283" w:firstLine="709"/>
        <w:jc w:val="both"/>
        <w:rPr>
          <w:color w:val="010000"/>
          <w:szCs w:val="22"/>
          <w:lang w:eastAsia="zh-CN"/>
        </w:rPr>
      </w:pPr>
      <w:r w:rsidRPr="000E2CA0">
        <w:rPr>
          <w:b/>
          <w:bCs/>
          <w:color w:val="010000"/>
          <w:szCs w:val="22"/>
          <w:lang w:eastAsia="zh-CN"/>
        </w:rPr>
        <w:t>1- Genel Merkez Gelirleri</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lastRenderedPageBreak/>
        <w:t>13. Partinin Genel Merkez gelirleri toplamı 165.874,00 TL olup bunun 69.726,00 TL’si üye yıllık aidatlarından, 96.148,00 TL’si bağışlardan oluşmaktadır.</w:t>
      </w:r>
      <w:r w:rsidRPr="000E2CA0">
        <w:rPr>
          <w:color w:val="010000"/>
          <w:szCs w:val="19"/>
          <w:lang w:eastAsia="zh-CN"/>
        </w:rPr>
        <w:t xml:space="preserve"> </w:t>
      </w:r>
    </w:p>
    <w:p w:rsidR="000E2CA0" w:rsidRPr="000E2CA0" w:rsidRDefault="000E2CA0" w:rsidP="000E2CA0">
      <w:pPr>
        <w:spacing w:after="200"/>
        <w:ind w:right="283" w:firstLine="709"/>
        <w:jc w:val="both"/>
        <w:rPr>
          <w:b/>
          <w:bCs/>
          <w:color w:val="010000"/>
          <w:szCs w:val="19"/>
          <w:lang w:eastAsia="zh-CN"/>
        </w:rPr>
      </w:pPr>
      <w:r w:rsidRPr="000E2CA0">
        <w:rPr>
          <w:color w:val="010000"/>
          <w:szCs w:val="19"/>
          <w:lang w:eastAsia="zh-CN"/>
        </w:rPr>
        <w:t>14. Parti Genel Merkezinin defter kayıtları ve gelir belgeleri üzerinde yapılan incelemede, gelirlerin 2820 sayılı Kanun’a uygun olarak sağlandığı sonucuna varılmıştır.</w:t>
      </w:r>
    </w:p>
    <w:p w:rsidR="000E2CA0" w:rsidRPr="000E2CA0" w:rsidRDefault="000E2CA0" w:rsidP="000E2CA0">
      <w:pPr>
        <w:spacing w:after="200"/>
        <w:ind w:right="283" w:firstLine="709"/>
        <w:jc w:val="both"/>
        <w:rPr>
          <w:b/>
          <w:bCs/>
          <w:color w:val="010000"/>
          <w:szCs w:val="22"/>
          <w:lang w:eastAsia="zh-CN"/>
        </w:rPr>
      </w:pPr>
      <w:r w:rsidRPr="000E2CA0">
        <w:rPr>
          <w:b/>
          <w:bCs/>
          <w:color w:val="010000"/>
          <w:szCs w:val="22"/>
          <w:lang w:eastAsia="zh-CN"/>
        </w:rPr>
        <w:t>2- İl Örgütleri Gelirleri</w:t>
      </w:r>
    </w:p>
    <w:p w:rsidR="000E2CA0" w:rsidRPr="000E2CA0" w:rsidRDefault="000E2CA0" w:rsidP="000E2CA0">
      <w:pPr>
        <w:spacing w:after="200"/>
        <w:ind w:right="283" w:firstLine="709"/>
        <w:jc w:val="both"/>
        <w:rPr>
          <w:color w:val="010000"/>
          <w:szCs w:val="19"/>
          <w:lang w:eastAsia="zh-CN"/>
        </w:rPr>
      </w:pPr>
      <w:r w:rsidRPr="000E2CA0">
        <w:rPr>
          <w:bCs/>
          <w:color w:val="010000"/>
          <w:szCs w:val="19"/>
          <w:lang w:eastAsia="zh-CN"/>
        </w:rPr>
        <w:t xml:space="preserve">15. Partinin 2013 yılında il örgütlerine ilişkin gelirleri toplamı </w:t>
      </w:r>
      <w:r w:rsidRPr="000E2CA0">
        <w:rPr>
          <w:color w:val="010000"/>
          <w:szCs w:val="19"/>
          <w:lang w:eastAsia="zh-CN"/>
        </w:rPr>
        <w:t>106.799,68 TL olup, bunun 26.838,50 TL’si üye yıllık aidatından, 45.678,50 TL’si bağışlardan, 33.227,59 TL’si mobil aidat gelirlerinden, 357,59 TL’si faaliyet gelirlerinden, 697,50 TL’si yardımlardan oluşmaktadır.</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16. Parti İl Örgütlerinin defter kayıtları ve gelir belgeleri üzerinde yapılan incelemede, gelirlerin 2820 sayılı Kanun’a uygun olarak sağlandığı sonucuna varılmıştır.</w:t>
      </w:r>
    </w:p>
    <w:p w:rsidR="000E2CA0" w:rsidRPr="000E2CA0" w:rsidRDefault="000E2CA0" w:rsidP="000E2CA0">
      <w:pPr>
        <w:spacing w:after="200"/>
        <w:ind w:right="283" w:firstLine="709"/>
        <w:jc w:val="both"/>
        <w:rPr>
          <w:b/>
          <w:bCs/>
          <w:color w:val="010000"/>
          <w:szCs w:val="22"/>
          <w:lang w:eastAsia="zh-CN"/>
        </w:rPr>
      </w:pPr>
      <w:r w:rsidRPr="000E2CA0">
        <w:rPr>
          <w:b/>
          <w:bCs/>
          <w:color w:val="010000"/>
          <w:szCs w:val="22"/>
          <w:lang w:eastAsia="zh-CN"/>
        </w:rPr>
        <w:t>B- Giderlerin İncelenmesi</w:t>
      </w:r>
    </w:p>
    <w:p w:rsidR="000E2CA0" w:rsidRPr="000E2CA0" w:rsidRDefault="000E2CA0" w:rsidP="000E2CA0">
      <w:pPr>
        <w:spacing w:after="200"/>
        <w:ind w:right="283" w:firstLine="709"/>
        <w:jc w:val="both"/>
        <w:rPr>
          <w:color w:val="010000"/>
          <w:szCs w:val="22"/>
          <w:lang w:eastAsia="zh-CN"/>
        </w:rPr>
      </w:pPr>
      <w:r w:rsidRPr="000E2CA0">
        <w:rPr>
          <w:b/>
          <w:bCs/>
          <w:color w:val="010000"/>
          <w:szCs w:val="22"/>
          <w:lang w:eastAsia="zh-CN"/>
        </w:rPr>
        <w:t>1- Genel Merkez Giderleri</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17. Partinin Genel Merkez giderleri toplamı 166.479,86 TL olup, bunun 40.404,11 TL’si personel giderlerinden, 9.859,06 TL’si temsil, ağırlama ve yemek giderlerinden, 1.517,96 TL’si kırtasiye, büro ve matbaa giderlerinden, 16.777,68 TL’si haberleşme giderlerinden, 25.995,18 TL’si seyahat giderlerinden, 34.838,25 TL’si ofis kira ve aidat giderlerinden, 1.180,00 TL’si bakım ve onarım giderlerinden, 3.015,10 TL’si ısıtma, aydınlatma, elektrik, su ve temizlik giderlerinden, 2.689,99 TL’si ilan, reklam, vergi, sigorta, noter giderlerinden, 26.830,80 TL’si icra, mahkeme, avukatlık ve harç giderlerinden, 1.902,00 TL’si muhasebe ve mali müşavirlik giderlerinden, 1.469,73 TL’si diğer giderlerden oluşmaktadır. Genel merkezin 2013 yılsonu kasa mevcudu ise 839,01 TL’dir.</w:t>
      </w:r>
      <w:r w:rsidRPr="000E2CA0">
        <w:rPr>
          <w:color w:val="010000"/>
          <w:szCs w:val="19"/>
          <w:lang w:eastAsia="zh-CN"/>
        </w:rPr>
        <w:t xml:space="preserve"> </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18. Parti Genel Merkezinin defter kayıtları ve gider belgeleri üzerinde yapılan incelemede, giderlerin 2820 sayılı Kanun’a uygun olarak gerçekleştirildiği sonucuna varılmıştır.</w:t>
      </w:r>
    </w:p>
    <w:p w:rsidR="000E2CA0" w:rsidRPr="000E2CA0" w:rsidRDefault="000E2CA0" w:rsidP="000E2CA0">
      <w:pPr>
        <w:spacing w:after="200"/>
        <w:ind w:right="283" w:firstLine="709"/>
        <w:jc w:val="both"/>
        <w:rPr>
          <w:b/>
          <w:bCs/>
          <w:color w:val="010000"/>
          <w:szCs w:val="22"/>
          <w:lang w:eastAsia="zh-CN"/>
        </w:rPr>
      </w:pPr>
      <w:r w:rsidRPr="000E2CA0">
        <w:rPr>
          <w:b/>
          <w:bCs/>
          <w:color w:val="010000"/>
          <w:szCs w:val="22"/>
          <w:lang w:eastAsia="zh-CN"/>
        </w:rPr>
        <w:t>2- İl Örgütleri Giderleri</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19. Partinin 2013 yılında il örgütlerine ilişkin giderler toplamı 110.116,95 TL olup, bunun 90,00 TL’si personel giderlerinden, 5.150,47 TL’si temsil, ağırlama ve yemek giderlerinden, 2.901,91 TL’si kırtasiye, büro ve matbaa giderlerinden, 5.139,40 TL’si haberleşme giderlerinden, 35.183,78 TL’si genel merkez aidat ve bağış giderlerinden, 4.317,50 TL’si miting, etkinlik ve tanıtım giderlerinden, 41.990,00 TL’si kira giderlerinden, 1.000,00 TL’si bakım, onarım ve diğer giderlerden, 689,00 TL’si geçen yıldan kalan borç ödemelerinden, 5.613,81 TL’si ısınma, aydınlatma ve temizlik giderlerinden, 130,00 TL’si banka giderlerinden, 2.520,73 TL’si vergi, sigorta, noter giderlerinden, 5.390,35 TL’si taşıma ve ulaşım giderlerinden oluşmaktadır. İl örgütlerinin gelecek yıla devreden nakit mevcudu ise 8.996,77 TL’dir.</w:t>
      </w:r>
    </w:p>
    <w:p w:rsidR="000E2CA0" w:rsidRPr="000E2CA0" w:rsidRDefault="000E2CA0" w:rsidP="000E2CA0">
      <w:pPr>
        <w:spacing w:after="200"/>
        <w:ind w:right="283" w:firstLine="709"/>
        <w:jc w:val="both"/>
        <w:rPr>
          <w:b/>
          <w:bCs/>
          <w:color w:val="010000"/>
          <w:szCs w:val="19"/>
          <w:lang w:eastAsia="zh-CN"/>
        </w:rPr>
      </w:pPr>
      <w:r w:rsidRPr="000E2CA0">
        <w:rPr>
          <w:color w:val="010000"/>
          <w:szCs w:val="19"/>
          <w:lang w:eastAsia="zh-CN"/>
        </w:rPr>
        <w:t>20. Parti İl Örgütlerinin defter kayıtları ve gider belgeleri üzerinde yapılan incelemede, giderlerin 2820 sayılı Kanun’a uygun olarak sağlandığı sonucuna varılmıştır.</w:t>
      </w:r>
    </w:p>
    <w:p w:rsidR="000E2CA0" w:rsidRPr="000E2CA0" w:rsidRDefault="000E2CA0" w:rsidP="000E2CA0">
      <w:pPr>
        <w:spacing w:after="200"/>
        <w:ind w:right="283" w:firstLine="709"/>
        <w:jc w:val="both"/>
        <w:rPr>
          <w:color w:val="010000"/>
          <w:szCs w:val="22"/>
          <w:lang w:eastAsia="zh-CN"/>
        </w:rPr>
      </w:pPr>
      <w:r w:rsidRPr="000E2CA0">
        <w:rPr>
          <w:b/>
          <w:bCs/>
          <w:color w:val="010000"/>
          <w:szCs w:val="22"/>
          <w:lang w:eastAsia="zh-CN"/>
        </w:rPr>
        <w:t>C- Parti Malları</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21. Partinin 2013 yılı defter ve belgeleri üzerinde yapılan incelemede, herhangi bir taşınmaz mal ve değeri 100 TL’yi aşan taşınır mal ve menkul kıymet ediniminin olmadığı anlaşılmıştır.</w:t>
      </w:r>
    </w:p>
    <w:p w:rsidR="000E2CA0" w:rsidRPr="000E2CA0" w:rsidRDefault="000E2CA0" w:rsidP="000E2CA0">
      <w:pPr>
        <w:spacing w:after="200"/>
        <w:ind w:right="283" w:firstLine="709"/>
        <w:jc w:val="both"/>
        <w:rPr>
          <w:color w:val="010000"/>
          <w:szCs w:val="22"/>
          <w:lang w:eastAsia="zh-CN"/>
        </w:rPr>
      </w:pPr>
      <w:r w:rsidRPr="000E2CA0">
        <w:rPr>
          <w:b/>
          <w:bCs/>
          <w:color w:val="010000"/>
          <w:szCs w:val="22"/>
          <w:lang w:eastAsia="zh-CN"/>
        </w:rPr>
        <w:t>IV- SONUÇ</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lastRenderedPageBreak/>
        <w:t>Hak ve Eşitlik Partisinin 2013 yılı kesin hesabının incelenmesi sonucunda;</w:t>
      </w:r>
    </w:p>
    <w:p w:rsidR="000E2CA0" w:rsidRPr="000E2CA0" w:rsidRDefault="000E2CA0" w:rsidP="000E2CA0">
      <w:pPr>
        <w:spacing w:after="200"/>
        <w:ind w:right="283" w:firstLine="709"/>
        <w:jc w:val="both"/>
        <w:rPr>
          <w:color w:val="010000"/>
          <w:szCs w:val="19"/>
          <w:lang w:eastAsia="zh-CN"/>
        </w:rPr>
      </w:pPr>
      <w:r w:rsidRPr="000E2CA0">
        <w:rPr>
          <w:color w:val="010000"/>
          <w:szCs w:val="19"/>
          <w:lang w:eastAsia="zh-CN"/>
        </w:rPr>
        <w:t>Partinin 2013 yılı kesin hesabında gösterilen 272.673,68 TL gelir ve 276.596,81 TL giderin eldeki bilgi ve belgelere göre doğru, denk ve 2820 sayılı Siyasi Partiler Kanunu’na uygun olduğuna,</w:t>
      </w:r>
      <w:r w:rsidRPr="000E2CA0">
        <w:rPr>
          <w:color w:val="010000"/>
          <w:szCs w:val="19"/>
          <w:lang w:eastAsia="zh-CN"/>
        </w:rPr>
        <w:t xml:space="preserve"> </w:t>
      </w:r>
      <w:r w:rsidRPr="000E2CA0">
        <w:rPr>
          <w:color w:val="010000"/>
          <w:szCs w:val="19"/>
          <w:lang w:eastAsia="zh-CN"/>
        </w:rPr>
        <w:t>1.7.2015 tarihinde OYBİRLİĞİYLE karar verildi.</w:t>
      </w:r>
    </w:p>
    <w:p w:rsidR="000E2CA0" w:rsidRDefault="000E2CA0">
      <w:bookmarkStart w:id="0" w:name="_GoBack"/>
      <w:bookmarkEnd w:id="0"/>
    </w:p>
    <w:tbl>
      <w:tblPr>
        <w:tblW w:w="5000" w:type="pct"/>
        <w:jc w:val="center"/>
        <w:tblCellMar>
          <w:left w:w="70" w:type="dxa"/>
          <w:right w:w="70" w:type="dxa"/>
        </w:tblCellMar>
        <w:tblLook w:val="04A0" w:firstRow="1" w:lastRow="0" w:firstColumn="1" w:lastColumn="0" w:noHBand="0" w:noVBand="1"/>
      </w:tblPr>
      <w:tblGrid>
        <w:gridCol w:w="3221"/>
        <w:gridCol w:w="3261"/>
        <w:gridCol w:w="3298"/>
      </w:tblGrid>
      <w:tr w:rsidR="000E2CA0" w:rsidRPr="000E2CA0" w:rsidTr="000E2CA0">
        <w:trPr>
          <w:jc w:val="center"/>
        </w:trPr>
        <w:tc>
          <w:tcPr>
            <w:tcW w:w="1647" w:type="pct"/>
            <w:hideMark/>
          </w:tcPr>
          <w:p w:rsidR="000E2CA0" w:rsidRPr="000E2CA0" w:rsidRDefault="000E2CA0" w:rsidP="000E2CA0">
            <w:pPr>
              <w:spacing w:before="240" w:after="240"/>
              <w:jc w:val="center"/>
              <w:rPr>
                <w:rFonts w:eastAsia="Calibri"/>
                <w:color w:val="010000"/>
                <w:szCs w:val="19"/>
                <w:lang w:eastAsia="en-US"/>
              </w:rPr>
            </w:pPr>
            <w:r w:rsidRPr="000E2CA0">
              <w:rPr>
                <w:color w:val="010000"/>
                <w:szCs w:val="19"/>
              </w:rPr>
              <w:t>Başkan</w:t>
            </w:r>
          </w:p>
          <w:p w:rsidR="000E2CA0" w:rsidRPr="000E2CA0" w:rsidRDefault="000E2CA0" w:rsidP="000E2CA0">
            <w:pPr>
              <w:spacing w:before="240" w:after="240"/>
              <w:jc w:val="center"/>
              <w:rPr>
                <w:color w:val="010000"/>
                <w:szCs w:val="19"/>
                <w:lang w:eastAsia="en-US"/>
              </w:rPr>
            </w:pPr>
            <w:r w:rsidRPr="000E2CA0">
              <w:rPr>
                <w:color w:val="010000"/>
                <w:szCs w:val="19"/>
              </w:rPr>
              <w:t>Zühtü ARSLAN</w:t>
            </w:r>
          </w:p>
        </w:tc>
        <w:tc>
          <w:tcPr>
            <w:tcW w:w="1667" w:type="pct"/>
            <w:hideMark/>
          </w:tcPr>
          <w:p w:rsidR="000E2CA0" w:rsidRPr="000E2CA0" w:rsidRDefault="000E2CA0" w:rsidP="000E2CA0">
            <w:pPr>
              <w:spacing w:before="240" w:after="240"/>
              <w:jc w:val="center"/>
              <w:rPr>
                <w:rFonts w:eastAsia="Calibri"/>
                <w:color w:val="010000"/>
                <w:szCs w:val="19"/>
                <w:lang w:eastAsia="en-US"/>
              </w:rPr>
            </w:pPr>
            <w:r w:rsidRPr="000E2CA0">
              <w:rPr>
                <w:color w:val="010000"/>
                <w:szCs w:val="19"/>
              </w:rPr>
              <w:t>Başkanvekili</w:t>
            </w:r>
          </w:p>
          <w:p w:rsidR="000E2CA0" w:rsidRPr="000E2CA0" w:rsidRDefault="000E2CA0" w:rsidP="000E2CA0">
            <w:pPr>
              <w:spacing w:before="240" w:after="240"/>
              <w:jc w:val="center"/>
              <w:rPr>
                <w:color w:val="010000"/>
                <w:szCs w:val="19"/>
                <w:lang w:eastAsia="en-US"/>
              </w:rPr>
            </w:pPr>
            <w:r w:rsidRPr="000E2CA0">
              <w:rPr>
                <w:color w:val="010000"/>
                <w:szCs w:val="19"/>
              </w:rPr>
              <w:t>Burhan ÜSTÜN</w:t>
            </w:r>
          </w:p>
        </w:tc>
        <w:tc>
          <w:tcPr>
            <w:tcW w:w="1686" w:type="pct"/>
            <w:hideMark/>
          </w:tcPr>
          <w:p w:rsidR="000E2CA0" w:rsidRPr="000E2CA0" w:rsidRDefault="000E2CA0" w:rsidP="000E2CA0">
            <w:pPr>
              <w:spacing w:before="240" w:after="240"/>
              <w:jc w:val="center"/>
              <w:rPr>
                <w:rFonts w:eastAsia="Calibri"/>
                <w:color w:val="010000"/>
                <w:szCs w:val="19"/>
                <w:lang w:eastAsia="en-US"/>
              </w:rPr>
            </w:pPr>
            <w:r w:rsidRPr="000E2CA0">
              <w:rPr>
                <w:color w:val="010000"/>
                <w:szCs w:val="19"/>
              </w:rPr>
              <w:t>Üye</w:t>
            </w:r>
          </w:p>
          <w:p w:rsidR="000E2CA0" w:rsidRPr="000E2CA0" w:rsidRDefault="000E2CA0" w:rsidP="000E2CA0">
            <w:pPr>
              <w:spacing w:before="240" w:after="240"/>
              <w:jc w:val="center"/>
              <w:rPr>
                <w:color w:val="010000"/>
                <w:szCs w:val="19"/>
                <w:lang w:eastAsia="en-US"/>
              </w:rPr>
            </w:pPr>
            <w:r w:rsidRPr="000E2CA0">
              <w:rPr>
                <w:color w:val="010000"/>
                <w:szCs w:val="19"/>
              </w:rPr>
              <w:t>Serdar ÖZGÜLDÜR</w:t>
            </w:r>
          </w:p>
        </w:tc>
      </w:tr>
      <w:tr w:rsidR="000E2CA0" w:rsidRPr="000E2CA0" w:rsidTr="000E2CA0">
        <w:trPr>
          <w:jc w:val="center"/>
        </w:trPr>
        <w:tc>
          <w:tcPr>
            <w:tcW w:w="1647" w:type="pct"/>
            <w:hideMark/>
          </w:tcPr>
          <w:p w:rsidR="000E2CA0" w:rsidRPr="000E2CA0" w:rsidRDefault="000E2CA0" w:rsidP="000E2CA0">
            <w:pPr>
              <w:spacing w:before="240" w:after="240"/>
              <w:jc w:val="center"/>
              <w:rPr>
                <w:rFonts w:eastAsia="Calibri"/>
                <w:color w:val="010000"/>
                <w:szCs w:val="19"/>
                <w:lang w:eastAsia="en-US"/>
              </w:rPr>
            </w:pPr>
            <w:r w:rsidRPr="000E2CA0">
              <w:rPr>
                <w:color w:val="010000"/>
                <w:szCs w:val="19"/>
              </w:rPr>
              <w:t>Üye</w:t>
            </w:r>
          </w:p>
          <w:p w:rsidR="000E2CA0" w:rsidRPr="000E2CA0" w:rsidRDefault="000E2CA0" w:rsidP="000E2CA0">
            <w:pPr>
              <w:spacing w:before="240" w:after="240"/>
              <w:jc w:val="center"/>
              <w:rPr>
                <w:color w:val="010000"/>
                <w:szCs w:val="19"/>
                <w:lang w:eastAsia="en-US"/>
              </w:rPr>
            </w:pPr>
            <w:r w:rsidRPr="000E2CA0">
              <w:rPr>
                <w:color w:val="010000"/>
                <w:szCs w:val="19"/>
              </w:rPr>
              <w:t xml:space="preserve"> Osman </w:t>
            </w:r>
            <w:proofErr w:type="spellStart"/>
            <w:r w:rsidRPr="000E2CA0">
              <w:rPr>
                <w:color w:val="010000"/>
                <w:szCs w:val="19"/>
              </w:rPr>
              <w:t>Alifeyyaz</w:t>
            </w:r>
            <w:proofErr w:type="spellEnd"/>
            <w:r w:rsidRPr="000E2CA0">
              <w:rPr>
                <w:color w:val="010000"/>
                <w:szCs w:val="19"/>
              </w:rPr>
              <w:t xml:space="preserve"> PAKSÜT</w:t>
            </w:r>
          </w:p>
        </w:tc>
        <w:tc>
          <w:tcPr>
            <w:tcW w:w="1667" w:type="pct"/>
            <w:hideMark/>
          </w:tcPr>
          <w:p w:rsidR="000E2CA0" w:rsidRPr="000E2CA0" w:rsidRDefault="000E2CA0" w:rsidP="000E2CA0">
            <w:pPr>
              <w:spacing w:before="240" w:after="240"/>
              <w:jc w:val="center"/>
              <w:rPr>
                <w:rFonts w:eastAsia="Calibri"/>
                <w:color w:val="010000"/>
                <w:szCs w:val="19"/>
                <w:lang w:eastAsia="en-US"/>
              </w:rPr>
            </w:pPr>
            <w:r w:rsidRPr="000E2CA0">
              <w:rPr>
                <w:color w:val="010000"/>
                <w:szCs w:val="19"/>
              </w:rPr>
              <w:t>Üye</w:t>
            </w:r>
          </w:p>
          <w:p w:rsidR="000E2CA0" w:rsidRPr="000E2CA0" w:rsidRDefault="000E2CA0" w:rsidP="000E2CA0">
            <w:pPr>
              <w:spacing w:before="240" w:after="240"/>
              <w:jc w:val="center"/>
              <w:rPr>
                <w:color w:val="010000"/>
                <w:szCs w:val="19"/>
                <w:lang w:eastAsia="en-US"/>
              </w:rPr>
            </w:pPr>
            <w:r w:rsidRPr="000E2CA0">
              <w:rPr>
                <w:color w:val="010000"/>
                <w:szCs w:val="19"/>
              </w:rPr>
              <w:t xml:space="preserve"> Recep KÖMÜRCÜ</w:t>
            </w:r>
          </w:p>
        </w:tc>
        <w:tc>
          <w:tcPr>
            <w:tcW w:w="1686" w:type="pct"/>
            <w:hideMark/>
          </w:tcPr>
          <w:p w:rsidR="000E2CA0" w:rsidRPr="000E2CA0" w:rsidRDefault="000E2CA0" w:rsidP="000E2CA0">
            <w:pPr>
              <w:spacing w:before="240" w:after="240"/>
              <w:jc w:val="center"/>
              <w:rPr>
                <w:rFonts w:eastAsia="Calibri"/>
                <w:color w:val="010000"/>
                <w:szCs w:val="19"/>
                <w:lang w:eastAsia="en-US"/>
              </w:rPr>
            </w:pPr>
            <w:r w:rsidRPr="000E2CA0">
              <w:rPr>
                <w:color w:val="010000"/>
                <w:szCs w:val="19"/>
              </w:rPr>
              <w:t>Üye</w:t>
            </w:r>
          </w:p>
          <w:p w:rsidR="000E2CA0" w:rsidRPr="000E2CA0" w:rsidRDefault="000E2CA0" w:rsidP="000E2CA0">
            <w:pPr>
              <w:spacing w:before="240" w:after="240"/>
              <w:jc w:val="center"/>
              <w:rPr>
                <w:color w:val="010000"/>
                <w:szCs w:val="19"/>
                <w:lang w:eastAsia="en-US"/>
              </w:rPr>
            </w:pPr>
            <w:r w:rsidRPr="000E2CA0">
              <w:rPr>
                <w:color w:val="010000"/>
                <w:szCs w:val="19"/>
              </w:rPr>
              <w:t>Engin YILDIRIM</w:t>
            </w:r>
            <w:r w:rsidRPr="000E2CA0">
              <w:rPr>
                <w:color w:val="010000"/>
                <w:szCs w:val="19"/>
              </w:rPr>
              <w:t xml:space="preserve"> </w:t>
            </w:r>
          </w:p>
        </w:tc>
      </w:tr>
      <w:tr w:rsidR="000E2CA0" w:rsidRPr="000E2CA0" w:rsidTr="000E2CA0">
        <w:trPr>
          <w:jc w:val="center"/>
        </w:trPr>
        <w:tc>
          <w:tcPr>
            <w:tcW w:w="1647" w:type="pct"/>
            <w:hideMark/>
          </w:tcPr>
          <w:p w:rsidR="000E2CA0" w:rsidRPr="000E2CA0" w:rsidRDefault="000E2CA0" w:rsidP="000E2CA0">
            <w:pPr>
              <w:spacing w:before="240" w:after="240"/>
              <w:jc w:val="center"/>
              <w:rPr>
                <w:rFonts w:eastAsia="Calibri"/>
                <w:color w:val="010000"/>
                <w:szCs w:val="19"/>
                <w:lang w:eastAsia="en-US"/>
              </w:rPr>
            </w:pPr>
            <w:r w:rsidRPr="000E2CA0">
              <w:rPr>
                <w:color w:val="010000"/>
                <w:szCs w:val="19"/>
              </w:rPr>
              <w:t>Üye</w:t>
            </w:r>
          </w:p>
          <w:p w:rsidR="000E2CA0" w:rsidRPr="000E2CA0" w:rsidRDefault="000E2CA0" w:rsidP="000E2CA0">
            <w:pPr>
              <w:spacing w:before="240" w:after="240"/>
              <w:jc w:val="center"/>
              <w:rPr>
                <w:color w:val="010000"/>
                <w:szCs w:val="19"/>
                <w:lang w:eastAsia="en-US"/>
              </w:rPr>
            </w:pPr>
            <w:r w:rsidRPr="000E2CA0">
              <w:rPr>
                <w:color w:val="010000"/>
                <w:szCs w:val="19"/>
              </w:rPr>
              <w:t>Nuri NECİPOĞLU</w:t>
            </w:r>
          </w:p>
        </w:tc>
        <w:tc>
          <w:tcPr>
            <w:tcW w:w="1667" w:type="pct"/>
            <w:hideMark/>
          </w:tcPr>
          <w:p w:rsidR="000E2CA0" w:rsidRPr="000E2CA0" w:rsidRDefault="000E2CA0" w:rsidP="000E2CA0">
            <w:pPr>
              <w:spacing w:before="240" w:after="240"/>
              <w:jc w:val="center"/>
              <w:rPr>
                <w:rFonts w:eastAsia="Calibri"/>
                <w:color w:val="010000"/>
                <w:szCs w:val="19"/>
                <w:lang w:eastAsia="en-US"/>
              </w:rPr>
            </w:pPr>
            <w:r w:rsidRPr="000E2CA0">
              <w:rPr>
                <w:color w:val="010000"/>
                <w:szCs w:val="19"/>
              </w:rPr>
              <w:t>Üye</w:t>
            </w:r>
          </w:p>
          <w:p w:rsidR="000E2CA0" w:rsidRPr="000E2CA0" w:rsidRDefault="000E2CA0" w:rsidP="000E2CA0">
            <w:pPr>
              <w:spacing w:before="240" w:after="240"/>
              <w:jc w:val="center"/>
              <w:rPr>
                <w:color w:val="010000"/>
                <w:szCs w:val="19"/>
                <w:lang w:eastAsia="en-US"/>
              </w:rPr>
            </w:pPr>
            <w:proofErr w:type="spellStart"/>
            <w:r w:rsidRPr="000E2CA0">
              <w:rPr>
                <w:color w:val="010000"/>
                <w:szCs w:val="19"/>
              </w:rPr>
              <w:t>Hicabi</w:t>
            </w:r>
            <w:proofErr w:type="spellEnd"/>
            <w:r w:rsidRPr="000E2CA0">
              <w:rPr>
                <w:color w:val="010000"/>
                <w:szCs w:val="19"/>
              </w:rPr>
              <w:t xml:space="preserve"> DURSUN</w:t>
            </w:r>
          </w:p>
        </w:tc>
        <w:tc>
          <w:tcPr>
            <w:tcW w:w="1686" w:type="pct"/>
            <w:hideMark/>
          </w:tcPr>
          <w:p w:rsidR="000E2CA0" w:rsidRPr="000E2CA0" w:rsidRDefault="000E2CA0" w:rsidP="000E2CA0">
            <w:pPr>
              <w:spacing w:before="240" w:after="240"/>
              <w:jc w:val="center"/>
              <w:rPr>
                <w:rFonts w:eastAsia="Calibri"/>
                <w:color w:val="010000"/>
                <w:szCs w:val="19"/>
                <w:lang w:eastAsia="en-US"/>
              </w:rPr>
            </w:pPr>
            <w:r w:rsidRPr="000E2CA0">
              <w:rPr>
                <w:color w:val="010000"/>
                <w:szCs w:val="19"/>
              </w:rPr>
              <w:t>Üye</w:t>
            </w:r>
          </w:p>
          <w:p w:rsidR="000E2CA0" w:rsidRPr="000E2CA0" w:rsidRDefault="000E2CA0" w:rsidP="000E2CA0">
            <w:pPr>
              <w:spacing w:before="240" w:after="240"/>
              <w:jc w:val="center"/>
              <w:rPr>
                <w:color w:val="010000"/>
                <w:szCs w:val="19"/>
                <w:lang w:eastAsia="en-US"/>
              </w:rPr>
            </w:pPr>
            <w:r w:rsidRPr="000E2CA0">
              <w:rPr>
                <w:color w:val="010000"/>
                <w:szCs w:val="19"/>
              </w:rPr>
              <w:t>Celal Mümtaz AKINCI</w:t>
            </w:r>
          </w:p>
        </w:tc>
      </w:tr>
      <w:tr w:rsidR="000E2CA0" w:rsidRPr="000E2CA0" w:rsidTr="000E2CA0">
        <w:trPr>
          <w:jc w:val="center"/>
        </w:trPr>
        <w:tc>
          <w:tcPr>
            <w:tcW w:w="1647" w:type="pct"/>
            <w:hideMark/>
          </w:tcPr>
          <w:p w:rsidR="000E2CA0" w:rsidRPr="000E2CA0" w:rsidRDefault="000E2CA0" w:rsidP="000E2CA0">
            <w:pPr>
              <w:spacing w:before="240" w:after="240"/>
              <w:jc w:val="center"/>
              <w:rPr>
                <w:rFonts w:eastAsia="Calibri"/>
                <w:color w:val="010000"/>
                <w:szCs w:val="19"/>
                <w:lang w:eastAsia="en-US"/>
              </w:rPr>
            </w:pPr>
            <w:r w:rsidRPr="000E2CA0">
              <w:rPr>
                <w:color w:val="010000"/>
                <w:szCs w:val="19"/>
              </w:rPr>
              <w:t>Üye</w:t>
            </w:r>
          </w:p>
          <w:p w:rsidR="000E2CA0" w:rsidRPr="000E2CA0" w:rsidRDefault="000E2CA0" w:rsidP="000E2CA0">
            <w:pPr>
              <w:spacing w:before="240" w:after="240"/>
              <w:jc w:val="center"/>
              <w:rPr>
                <w:color w:val="010000"/>
                <w:szCs w:val="19"/>
                <w:lang w:eastAsia="en-US"/>
              </w:rPr>
            </w:pPr>
            <w:r w:rsidRPr="000E2CA0">
              <w:rPr>
                <w:color w:val="010000"/>
                <w:szCs w:val="19"/>
              </w:rPr>
              <w:t>Erdal TERCAN</w:t>
            </w:r>
          </w:p>
        </w:tc>
        <w:tc>
          <w:tcPr>
            <w:tcW w:w="1667" w:type="pct"/>
            <w:hideMark/>
          </w:tcPr>
          <w:p w:rsidR="000E2CA0" w:rsidRPr="000E2CA0" w:rsidRDefault="000E2CA0" w:rsidP="000E2CA0">
            <w:pPr>
              <w:spacing w:before="240" w:after="240"/>
              <w:jc w:val="center"/>
              <w:rPr>
                <w:rFonts w:eastAsia="Calibri"/>
                <w:color w:val="010000"/>
                <w:szCs w:val="19"/>
                <w:lang w:eastAsia="en-US"/>
              </w:rPr>
            </w:pPr>
            <w:r w:rsidRPr="000E2CA0">
              <w:rPr>
                <w:color w:val="010000"/>
                <w:szCs w:val="19"/>
              </w:rPr>
              <w:t>Üye</w:t>
            </w:r>
          </w:p>
          <w:p w:rsidR="000E2CA0" w:rsidRPr="000E2CA0" w:rsidRDefault="000E2CA0" w:rsidP="000E2CA0">
            <w:pPr>
              <w:spacing w:before="240" w:after="240"/>
              <w:jc w:val="center"/>
              <w:rPr>
                <w:color w:val="010000"/>
                <w:szCs w:val="19"/>
                <w:lang w:eastAsia="en-US"/>
              </w:rPr>
            </w:pPr>
            <w:r w:rsidRPr="000E2CA0">
              <w:rPr>
                <w:color w:val="010000"/>
                <w:szCs w:val="19"/>
              </w:rPr>
              <w:t>Muammer TOPAL</w:t>
            </w:r>
          </w:p>
        </w:tc>
        <w:tc>
          <w:tcPr>
            <w:tcW w:w="1686" w:type="pct"/>
            <w:hideMark/>
          </w:tcPr>
          <w:p w:rsidR="000E2CA0" w:rsidRPr="000E2CA0" w:rsidRDefault="000E2CA0" w:rsidP="000E2CA0">
            <w:pPr>
              <w:spacing w:before="240" w:after="240"/>
              <w:jc w:val="center"/>
              <w:rPr>
                <w:rFonts w:eastAsia="Calibri"/>
                <w:color w:val="010000"/>
                <w:szCs w:val="19"/>
                <w:lang w:eastAsia="en-US"/>
              </w:rPr>
            </w:pPr>
            <w:r w:rsidRPr="000E2CA0">
              <w:rPr>
                <w:color w:val="010000"/>
                <w:szCs w:val="19"/>
              </w:rPr>
              <w:t>Üye</w:t>
            </w:r>
          </w:p>
          <w:p w:rsidR="000E2CA0" w:rsidRPr="000E2CA0" w:rsidRDefault="000E2CA0" w:rsidP="000E2CA0">
            <w:pPr>
              <w:spacing w:before="240" w:after="240"/>
              <w:jc w:val="center"/>
              <w:rPr>
                <w:color w:val="010000"/>
                <w:szCs w:val="19"/>
                <w:lang w:eastAsia="en-US"/>
              </w:rPr>
            </w:pPr>
            <w:r w:rsidRPr="000E2CA0">
              <w:rPr>
                <w:color w:val="010000"/>
                <w:szCs w:val="19"/>
              </w:rPr>
              <w:t>M. Emin KUZ</w:t>
            </w:r>
          </w:p>
        </w:tc>
      </w:tr>
      <w:tr w:rsidR="000E2CA0" w:rsidRPr="000E2CA0" w:rsidTr="000E2CA0">
        <w:trPr>
          <w:jc w:val="center"/>
        </w:trPr>
        <w:tc>
          <w:tcPr>
            <w:tcW w:w="1647" w:type="pct"/>
            <w:hideMark/>
          </w:tcPr>
          <w:p w:rsidR="000E2CA0" w:rsidRPr="000E2CA0" w:rsidRDefault="000E2CA0" w:rsidP="000E2CA0">
            <w:pPr>
              <w:spacing w:before="240" w:after="240"/>
              <w:jc w:val="center"/>
              <w:rPr>
                <w:rFonts w:eastAsia="Calibri"/>
                <w:color w:val="010000"/>
                <w:szCs w:val="19"/>
                <w:lang w:eastAsia="en-US"/>
              </w:rPr>
            </w:pPr>
            <w:r w:rsidRPr="000E2CA0">
              <w:rPr>
                <w:color w:val="010000"/>
                <w:szCs w:val="19"/>
              </w:rPr>
              <w:t>Üye</w:t>
            </w:r>
          </w:p>
          <w:p w:rsidR="000E2CA0" w:rsidRPr="000E2CA0" w:rsidRDefault="000E2CA0" w:rsidP="000E2CA0">
            <w:pPr>
              <w:spacing w:before="240" w:after="240"/>
              <w:jc w:val="center"/>
              <w:rPr>
                <w:color w:val="010000"/>
                <w:szCs w:val="19"/>
                <w:lang w:eastAsia="en-US"/>
              </w:rPr>
            </w:pPr>
            <w:r w:rsidRPr="000E2CA0">
              <w:rPr>
                <w:color w:val="010000"/>
                <w:szCs w:val="19"/>
              </w:rPr>
              <w:t>Hasan Tahsin GÖKCAN</w:t>
            </w:r>
          </w:p>
        </w:tc>
        <w:tc>
          <w:tcPr>
            <w:tcW w:w="1667" w:type="pct"/>
            <w:hideMark/>
          </w:tcPr>
          <w:p w:rsidR="000E2CA0" w:rsidRPr="000E2CA0" w:rsidRDefault="000E2CA0" w:rsidP="000E2CA0">
            <w:pPr>
              <w:spacing w:before="240" w:after="240"/>
              <w:jc w:val="center"/>
              <w:rPr>
                <w:rFonts w:eastAsia="Calibri"/>
                <w:color w:val="010000"/>
                <w:szCs w:val="19"/>
                <w:lang w:eastAsia="en-US"/>
              </w:rPr>
            </w:pPr>
            <w:r w:rsidRPr="000E2CA0">
              <w:rPr>
                <w:color w:val="010000"/>
                <w:szCs w:val="19"/>
              </w:rPr>
              <w:t>Üye</w:t>
            </w:r>
          </w:p>
          <w:p w:rsidR="000E2CA0" w:rsidRPr="000E2CA0" w:rsidRDefault="000E2CA0" w:rsidP="000E2CA0">
            <w:pPr>
              <w:spacing w:before="240" w:after="240"/>
              <w:jc w:val="center"/>
              <w:rPr>
                <w:color w:val="010000"/>
                <w:szCs w:val="19"/>
                <w:lang w:eastAsia="en-US"/>
              </w:rPr>
            </w:pPr>
            <w:r w:rsidRPr="000E2CA0">
              <w:rPr>
                <w:color w:val="010000"/>
                <w:szCs w:val="19"/>
              </w:rPr>
              <w:t>Kadir ÖZKAYA</w:t>
            </w:r>
          </w:p>
        </w:tc>
        <w:tc>
          <w:tcPr>
            <w:tcW w:w="1686" w:type="pct"/>
            <w:hideMark/>
          </w:tcPr>
          <w:p w:rsidR="000E2CA0" w:rsidRPr="000E2CA0" w:rsidRDefault="000E2CA0" w:rsidP="000E2CA0">
            <w:pPr>
              <w:spacing w:before="240" w:after="240"/>
              <w:jc w:val="center"/>
              <w:rPr>
                <w:rFonts w:eastAsia="Calibri"/>
                <w:color w:val="010000"/>
                <w:szCs w:val="19"/>
                <w:lang w:eastAsia="en-US"/>
              </w:rPr>
            </w:pPr>
            <w:r w:rsidRPr="000E2CA0">
              <w:rPr>
                <w:color w:val="010000"/>
                <w:szCs w:val="19"/>
              </w:rPr>
              <w:t>Üye</w:t>
            </w:r>
          </w:p>
          <w:p w:rsidR="000E2CA0" w:rsidRPr="000E2CA0" w:rsidRDefault="000E2CA0" w:rsidP="000E2CA0">
            <w:pPr>
              <w:spacing w:before="240" w:after="240"/>
              <w:jc w:val="center"/>
              <w:rPr>
                <w:color w:val="010000"/>
                <w:szCs w:val="19"/>
                <w:lang w:eastAsia="en-US"/>
              </w:rPr>
            </w:pPr>
            <w:r w:rsidRPr="000E2CA0">
              <w:rPr>
                <w:color w:val="010000"/>
                <w:szCs w:val="19"/>
              </w:rPr>
              <w:t>Rıdvan GÜLEÇ</w:t>
            </w:r>
          </w:p>
        </w:tc>
      </w:tr>
    </w:tbl>
    <w:p w:rsidR="000E2CA0" w:rsidRPr="000E2CA0" w:rsidRDefault="000E2CA0" w:rsidP="000E2CA0">
      <w:pPr>
        <w:spacing w:after="200"/>
        <w:ind w:right="283" w:firstLine="709"/>
        <w:jc w:val="both"/>
        <w:rPr>
          <w:color w:val="010000"/>
          <w:szCs w:val="19"/>
        </w:rPr>
      </w:pPr>
    </w:p>
    <w:sectPr w:rsidR="000E2CA0" w:rsidRPr="000E2CA0" w:rsidSect="000E2CA0">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45428" w:rsidRDefault="00845428" w:rsidP="000E2CA0">
      <w:r>
        <w:separator/>
      </w:r>
    </w:p>
  </w:endnote>
  <w:endnote w:type="continuationSeparator" w:id="0">
    <w:p w:rsidR="00845428" w:rsidRDefault="00845428" w:rsidP="000E2C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2CA0" w:rsidRDefault="000E2CA0" w:rsidP="003411B3">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0E2CA0" w:rsidRDefault="000E2CA0" w:rsidP="000E2CA0">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2CA0" w:rsidRPr="000E2CA0" w:rsidRDefault="000E2CA0" w:rsidP="003411B3">
    <w:pPr>
      <w:pStyle w:val="AltBilgi"/>
      <w:framePr w:wrap="around" w:vAnchor="text" w:hAnchor="margin" w:xAlign="right" w:y="1"/>
      <w:rPr>
        <w:rStyle w:val="SayfaNumaras"/>
      </w:rPr>
    </w:pPr>
    <w:r w:rsidRPr="000E2CA0">
      <w:rPr>
        <w:rStyle w:val="SayfaNumaras"/>
      </w:rPr>
      <w:fldChar w:fldCharType="begin"/>
    </w:r>
    <w:r w:rsidRPr="000E2CA0">
      <w:rPr>
        <w:rStyle w:val="SayfaNumaras"/>
      </w:rPr>
      <w:instrText xml:space="preserve"> PAGE </w:instrText>
    </w:r>
    <w:r w:rsidRPr="000E2CA0">
      <w:rPr>
        <w:rStyle w:val="SayfaNumaras"/>
      </w:rPr>
      <w:fldChar w:fldCharType="separate"/>
    </w:r>
    <w:r w:rsidRPr="000E2CA0">
      <w:rPr>
        <w:rStyle w:val="SayfaNumaras"/>
        <w:noProof/>
      </w:rPr>
      <w:t>1</w:t>
    </w:r>
    <w:r w:rsidRPr="000E2CA0">
      <w:rPr>
        <w:rStyle w:val="SayfaNumaras"/>
      </w:rPr>
      <w:fldChar w:fldCharType="end"/>
    </w:r>
  </w:p>
  <w:p w:rsidR="003B57BE" w:rsidRDefault="00845428" w:rsidP="000E2CA0">
    <w:pPr>
      <w:pStyle w:val="a"/>
      <w:ind w:right="360"/>
      <w:jc w:val="center"/>
    </w:pPr>
  </w:p>
  <w:p w:rsidR="003B57BE" w:rsidRDefault="00845428">
    <w:pPr>
      <w:pStyle w:val="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45428" w:rsidRDefault="00845428" w:rsidP="000E2CA0">
      <w:r>
        <w:separator/>
      </w:r>
    </w:p>
  </w:footnote>
  <w:footnote w:type="continuationSeparator" w:id="0">
    <w:p w:rsidR="00845428" w:rsidRDefault="00845428" w:rsidP="000E2CA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E2CA0" w:rsidRPr="000E2CA0" w:rsidRDefault="000E2CA0" w:rsidP="000E2CA0">
    <w:pPr>
      <w:pStyle w:val="stBilgi"/>
      <w:rPr>
        <w:b/>
      </w:rPr>
    </w:pPr>
    <w:r w:rsidRPr="000E2CA0">
      <w:rPr>
        <w:b/>
      </w:rPr>
      <w:t>Esas Sayısı:2014/20 (Siyasi Parti Mali Denetimi)</w:t>
    </w:r>
  </w:p>
  <w:p w:rsidR="000E2CA0" w:rsidRDefault="000E2CA0" w:rsidP="000E2CA0">
    <w:pPr>
      <w:pStyle w:val="stBilgi"/>
      <w:rPr>
        <w:b/>
      </w:rPr>
    </w:pPr>
    <w:r>
      <w:rPr>
        <w:b/>
      </w:rPr>
      <w:t>Karar Sayısı:2015/71</w:t>
    </w:r>
  </w:p>
  <w:p w:rsidR="003B57BE" w:rsidRPr="000E2CA0" w:rsidRDefault="00845428" w:rsidP="000E2CA0">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2CA0"/>
    <w:rsid w:val="000E2CA0"/>
    <w:rsid w:val="00845428"/>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8103532-B5C6-4953-AF92-0BBC7C8329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E2CA0"/>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
    <w:basedOn w:val="Normal"/>
    <w:next w:val="AltBilgi"/>
    <w:link w:val="AltbilgiChar"/>
    <w:uiPriority w:val="99"/>
    <w:rsid w:val="000E2CA0"/>
    <w:pPr>
      <w:tabs>
        <w:tab w:val="center" w:pos="4536"/>
        <w:tab w:val="right" w:pos="9072"/>
      </w:tabs>
    </w:pPr>
  </w:style>
  <w:style w:type="character" w:customStyle="1" w:styleId="AltbilgiChar">
    <w:name w:val="Altbilgi Char"/>
    <w:link w:val="a"/>
    <w:uiPriority w:val="99"/>
    <w:rsid w:val="000E2CA0"/>
    <w:rPr>
      <w:rFonts w:ascii="Times New Roman" w:eastAsia="Times New Roman" w:hAnsi="Times New Roman" w:cs="Times New Roman"/>
      <w:sz w:val="24"/>
      <w:szCs w:val="24"/>
      <w:lang w:eastAsia="tr-TR"/>
    </w:rPr>
  </w:style>
  <w:style w:type="paragraph" w:styleId="AltBilgi">
    <w:name w:val="footer"/>
    <w:basedOn w:val="Normal"/>
    <w:link w:val="AltBilgiChar0"/>
    <w:uiPriority w:val="99"/>
    <w:unhideWhenUsed/>
    <w:rsid w:val="000E2CA0"/>
    <w:pPr>
      <w:tabs>
        <w:tab w:val="center" w:pos="4536"/>
        <w:tab w:val="right" w:pos="9072"/>
      </w:tabs>
    </w:pPr>
  </w:style>
  <w:style w:type="character" w:customStyle="1" w:styleId="AltBilgiChar0">
    <w:name w:val="Alt Bilgi Char"/>
    <w:basedOn w:val="VarsaylanParagrafYazTipi"/>
    <w:link w:val="AltBilgi"/>
    <w:uiPriority w:val="99"/>
    <w:rsid w:val="000E2CA0"/>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E2CA0"/>
    <w:pPr>
      <w:tabs>
        <w:tab w:val="center" w:pos="4536"/>
        <w:tab w:val="right" w:pos="9072"/>
      </w:tabs>
    </w:pPr>
  </w:style>
  <w:style w:type="character" w:customStyle="1" w:styleId="stBilgiChar">
    <w:name w:val="Üst Bilgi Char"/>
    <w:basedOn w:val="VarsaylanParagrafYazTipi"/>
    <w:link w:val="stBilgi"/>
    <w:uiPriority w:val="99"/>
    <w:rsid w:val="000E2CA0"/>
    <w:rPr>
      <w:rFonts w:ascii="Times New Roman" w:eastAsia="Times New Roman" w:hAnsi="Times New Roman" w:cs="Times New Roman"/>
      <w:sz w:val="24"/>
      <w:szCs w:val="24"/>
      <w:lang w:eastAsia="tr-TR"/>
    </w:rPr>
  </w:style>
  <w:style w:type="character" w:styleId="SayfaNumaras">
    <w:name w:val="page number"/>
    <w:basedOn w:val="VarsaylanParagrafYazTipi"/>
    <w:uiPriority w:val="99"/>
    <w:semiHidden/>
    <w:unhideWhenUsed/>
    <w:rsid w:val="000E2C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1460</Words>
  <Characters>8324</Characters>
  <Application>Microsoft Office Word</Application>
  <DocSecurity>0</DocSecurity>
  <Lines>69</Lines>
  <Paragraphs>19</Paragraphs>
  <ScaleCrop>false</ScaleCrop>
  <Company/>
  <LinksUpToDate>false</LinksUpToDate>
  <CharactersWithSpaces>9765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2020-06-16T18:55:00Z</dcterms:created>
  <dcterms:modified xsi:type="dcterms:W3CDTF">2020-06-16T18:55:00Z</dcterms:modified>
</cp:coreProperties>
</file>