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rsidR="00C64428" w:rsidRDefault="00C64428" w:rsidP="00C64428">
      <w:pPr>
        <w:spacing w:after="200"/>
        <w:ind w:right="283"/>
        <w:jc w:val="center"/>
        <w:rPr>
          <w:b/>
          <w:bCs/>
          <w:caps/>
          <w:color w:val="010000"/>
          <w:szCs w:val="30"/>
        </w:rPr>
      </w:pPr>
      <w:r w:rsidRPr="00C64428">
        <w:rPr>
          <w:b/>
          <w:bCs/>
          <w:caps/>
          <w:color w:val="010000"/>
          <w:szCs w:val="19"/>
        </w:rPr>
        <w:t xml:space="preserve"> </w:t>
      </w:r>
      <w:r w:rsidRPr="00C64428">
        <w:rPr>
          <w:b/>
          <w:bCs/>
          <w:caps/>
          <w:color w:val="010000"/>
          <w:szCs w:val="30"/>
        </w:rPr>
        <w:t>ANAYASA MAHKEMESİ KARARI</w:t>
      </w:r>
    </w:p>
    <w:p w:rsidR="00C64428" w:rsidRPr="00C64428" w:rsidRDefault="00C64428" w:rsidP="00C64428">
      <w:pPr>
        <w:spacing w:after="200"/>
        <w:ind w:right="283" w:firstLine="709"/>
        <w:jc w:val="center"/>
        <w:rPr>
          <w:b/>
          <w:caps/>
          <w:color w:val="010000"/>
          <w:szCs w:val="30"/>
        </w:rPr>
      </w:pPr>
    </w:p>
    <w:p w:rsidR="00C64428" w:rsidRDefault="00C64428" w:rsidP="00C64428">
      <w:pPr>
        <w:rPr>
          <w:b/>
          <w:bCs/>
          <w:color w:val="010000"/>
          <w:szCs w:val="22"/>
        </w:rPr>
      </w:pPr>
      <w:r>
        <w:rPr>
          <w:b/>
          <w:bCs/>
          <w:color w:val="010000"/>
          <w:szCs w:val="22"/>
        </w:rPr>
        <w:t>Esas Sayısı:2014/37 (Siyasi Parti Mali Denetimi)</w:t>
      </w:r>
    </w:p>
    <w:p w:rsidR="00C64428" w:rsidRDefault="00C64428" w:rsidP="00C64428">
      <w:pPr>
        <w:rPr>
          <w:b/>
          <w:color w:val="010000"/>
          <w:szCs w:val="22"/>
        </w:rPr>
      </w:pPr>
      <w:r>
        <w:rPr>
          <w:b/>
          <w:color w:val="010000"/>
          <w:szCs w:val="22"/>
        </w:rPr>
        <w:t>Karar Sayısı:2015/63</w:t>
      </w:r>
    </w:p>
    <w:p w:rsidR="00C64428" w:rsidRDefault="00C64428" w:rsidP="00C64428">
      <w:pPr>
        <w:rPr>
          <w:b/>
          <w:color w:val="010000"/>
          <w:szCs w:val="22"/>
        </w:rPr>
      </w:pPr>
      <w:r>
        <w:rPr>
          <w:b/>
          <w:color w:val="010000"/>
          <w:szCs w:val="22"/>
        </w:rPr>
        <w:t>Karar Tarihi:1.7.2015</w:t>
      </w:r>
    </w:p>
    <w:p w:rsidR="00C64428" w:rsidRDefault="00C64428" w:rsidP="00C64428">
      <w:pPr>
        <w:rPr>
          <w:b/>
          <w:color w:val="010000"/>
          <w:szCs w:val="22"/>
        </w:rPr>
      </w:pPr>
      <w:r>
        <w:rPr>
          <w:b/>
          <w:color w:val="010000"/>
          <w:szCs w:val="22"/>
        </w:rPr>
        <w:t>R.G. Tarih-Sayı:17.11.2015-29535</w:t>
      </w:r>
    </w:p>
    <w:p w:rsidR="00C64428" w:rsidRPr="00C64428" w:rsidRDefault="00C64428" w:rsidP="00C64428">
      <w:pPr>
        <w:rPr>
          <w:b/>
          <w:color w:val="010000"/>
          <w:szCs w:val="22"/>
        </w:rPr>
      </w:pPr>
    </w:p>
    <w:p w:rsidR="00C64428" w:rsidRPr="00C64428" w:rsidRDefault="00C64428" w:rsidP="00C64428">
      <w:pPr>
        <w:spacing w:after="200"/>
        <w:ind w:right="283" w:firstLine="709"/>
        <w:jc w:val="both"/>
        <w:rPr>
          <w:color w:val="010000"/>
          <w:szCs w:val="22"/>
        </w:rPr>
      </w:pPr>
      <w:r w:rsidRPr="00C64428">
        <w:rPr>
          <w:b/>
          <w:bCs/>
          <w:color w:val="010000"/>
          <w:szCs w:val="22"/>
        </w:rPr>
        <w:t>I- MALİ DENETİMİN KONUSU</w:t>
      </w:r>
    </w:p>
    <w:p w:rsidR="00C64428" w:rsidRPr="00C64428" w:rsidRDefault="00C64428" w:rsidP="00C64428">
      <w:pPr>
        <w:spacing w:after="200"/>
        <w:ind w:right="283" w:firstLine="709"/>
        <w:jc w:val="both"/>
        <w:rPr>
          <w:color w:val="010000"/>
          <w:szCs w:val="19"/>
        </w:rPr>
      </w:pPr>
      <w:r w:rsidRPr="00C64428">
        <w:rPr>
          <w:color w:val="010000"/>
          <w:szCs w:val="19"/>
        </w:rPr>
        <w:t>Halkın Kurtuluş Partisi 2013 yılı kesin hesabının incelenmesidir.</w:t>
      </w:r>
    </w:p>
    <w:p w:rsidR="00C64428" w:rsidRPr="00C64428" w:rsidRDefault="00C64428" w:rsidP="00C64428">
      <w:pPr>
        <w:spacing w:after="200"/>
        <w:ind w:right="283" w:firstLine="709"/>
        <w:jc w:val="both"/>
        <w:rPr>
          <w:b/>
          <w:bCs/>
          <w:color w:val="010000"/>
          <w:szCs w:val="22"/>
        </w:rPr>
      </w:pPr>
      <w:r w:rsidRPr="00C64428">
        <w:rPr>
          <w:b/>
          <w:bCs/>
          <w:color w:val="010000"/>
          <w:szCs w:val="22"/>
        </w:rPr>
        <w:t>II- İLK İNCELEME</w:t>
      </w:r>
    </w:p>
    <w:p w:rsidR="00C64428" w:rsidRPr="00C64428" w:rsidRDefault="00C64428" w:rsidP="00C64428">
      <w:pPr>
        <w:spacing w:after="200"/>
        <w:ind w:right="283" w:firstLine="709"/>
        <w:jc w:val="both"/>
        <w:rPr>
          <w:rFonts w:eastAsia="Calibri"/>
          <w:color w:val="010000"/>
          <w:szCs w:val="19"/>
        </w:rPr>
      </w:pPr>
      <w:r w:rsidRPr="00C64428">
        <w:rPr>
          <w:color w:val="010000"/>
          <w:szCs w:val="19"/>
        </w:rPr>
        <w:t>1. Anayasa Mahkemesi İçtüzüğü hükümleri uyarınca</w:t>
      </w:r>
      <w:r w:rsidRPr="00C64428">
        <w:rPr>
          <w:rFonts w:eastAsia="Calibri"/>
          <w:color w:val="010000"/>
          <w:szCs w:val="19"/>
        </w:rPr>
        <w:t xml:space="preserve"> </w:t>
      </w:r>
      <w:proofErr w:type="spellStart"/>
      <w:r w:rsidRPr="00C64428">
        <w:rPr>
          <w:rFonts w:eastAsia="Calibri"/>
          <w:color w:val="010000"/>
          <w:szCs w:val="19"/>
        </w:rPr>
        <w:t>Serruh</w:t>
      </w:r>
      <w:proofErr w:type="spellEnd"/>
      <w:r w:rsidRPr="00C64428">
        <w:rPr>
          <w:rFonts w:eastAsia="Calibri"/>
          <w:color w:val="010000"/>
          <w:szCs w:val="19"/>
        </w:rPr>
        <w:t xml:space="preserve"> KALELİ, Alparslan ALTAN, Serdar ÖZGÜLDÜR, Osman </w:t>
      </w:r>
      <w:proofErr w:type="spellStart"/>
      <w:r w:rsidRPr="00C64428">
        <w:rPr>
          <w:rFonts w:eastAsia="Calibri"/>
          <w:color w:val="010000"/>
          <w:szCs w:val="19"/>
        </w:rPr>
        <w:t>Alifeyyaz</w:t>
      </w:r>
      <w:proofErr w:type="spellEnd"/>
      <w:r w:rsidRPr="00C64428">
        <w:rPr>
          <w:rFonts w:eastAsia="Calibri"/>
          <w:color w:val="010000"/>
          <w:szCs w:val="19"/>
        </w:rPr>
        <w:t xml:space="preserve"> PAKSÜT, Recep KÖMÜRCÜ, Burhan ÜSTÜN, Engin YILDIRIM, Nuri NECİPOĞLU, Celal Mümtaz AKINCI, </w:t>
      </w:r>
      <w:proofErr w:type="spellStart"/>
      <w:r w:rsidRPr="00C64428">
        <w:rPr>
          <w:rFonts w:eastAsia="Calibri"/>
          <w:color w:val="010000"/>
          <w:szCs w:val="19"/>
        </w:rPr>
        <w:t>Hicabi</w:t>
      </w:r>
      <w:proofErr w:type="spellEnd"/>
      <w:r w:rsidRPr="00C64428">
        <w:rPr>
          <w:rFonts w:eastAsia="Calibri"/>
          <w:color w:val="010000"/>
          <w:szCs w:val="19"/>
        </w:rPr>
        <w:t xml:space="preserve"> Dursun, Erdal TERCAN, Muammer TOPAL, Zühtü ARSLAN, M. Emin KUZ ve Hasan Tahsin </w:t>
      </w:r>
      <w:proofErr w:type="spellStart"/>
      <w:r w:rsidRPr="00C64428">
        <w:rPr>
          <w:rFonts w:eastAsia="Calibri"/>
          <w:color w:val="010000"/>
          <w:szCs w:val="19"/>
        </w:rPr>
        <w:t>GÖKCAN’ın</w:t>
      </w:r>
      <w:proofErr w:type="spellEnd"/>
      <w:r w:rsidRPr="00C64428">
        <w:rPr>
          <w:rFonts w:eastAsia="Calibri"/>
          <w:color w:val="010000"/>
          <w:szCs w:val="19"/>
        </w:rPr>
        <w:t xml:space="preserve"> katılımlarıyla 17.12.2014 tarihinde yapılan ilk inceleme toplantısında öncelikle suç duyurusunda bulunulup bulunulmayacağı sorunu görüşülmüştür.</w:t>
      </w:r>
    </w:p>
    <w:p w:rsidR="00C64428" w:rsidRPr="00C64428" w:rsidRDefault="00C64428" w:rsidP="00C64428">
      <w:pPr>
        <w:spacing w:after="200"/>
        <w:ind w:right="283" w:firstLine="709"/>
        <w:jc w:val="both"/>
        <w:rPr>
          <w:rFonts w:eastAsia="Calibri"/>
          <w:color w:val="010000"/>
          <w:szCs w:val="19"/>
        </w:rPr>
      </w:pPr>
      <w:r w:rsidRPr="00C64428">
        <w:rPr>
          <w:rFonts w:eastAsia="Calibri"/>
          <w:color w:val="010000"/>
          <w:szCs w:val="19"/>
        </w:rPr>
        <w:t xml:space="preserve">2. 2820 sayılı Siyasi Partiler Kanunu’nun 73. maddesinin üçüncü fıkrasında </w:t>
      </w:r>
      <w:r w:rsidRPr="00C64428">
        <w:rPr>
          <w:rFonts w:eastAsia="Calibri"/>
          <w:i/>
          <w:color w:val="010000"/>
          <w:szCs w:val="19"/>
        </w:rPr>
        <w:t>“İller teşkilatından gönderilenler ve parti merkezine ait olan kesin hesapların, Merkez Karar ve Yönetim Kurulunca incelenerek karara bağlanacağı”</w:t>
      </w:r>
      <w:r w:rsidRPr="00C64428">
        <w:rPr>
          <w:rFonts w:eastAsia="Calibri"/>
          <w:color w:val="010000"/>
          <w:szCs w:val="19"/>
        </w:rPr>
        <w:t xml:space="preserve"> öngörülmüş ve aynı Kanun’un 74. maddesinin ikinci fıkrasında da </w:t>
      </w:r>
      <w:r w:rsidRPr="00C64428">
        <w:rPr>
          <w:rFonts w:eastAsia="Calibri"/>
          <w:i/>
          <w:color w:val="010000"/>
          <w:szCs w:val="19"/>
        </w:rPr>
        <w:t>“siyasi partilerin genel başkanları, karara bağlanarak birleştirilmiş bulunan kesin hesap ile parti merkez ve bağlı ilçeleri de kapsayan iller teşkilatının kesin hesaplarının onaylı birer örneğini Haziran ayı sonuna kadar Anayasa Mahkemesine ve bilgi için Yargıtay Cumhuriyet Başsavcılığına vermek zorundadırlar. Bu belgelere, ilgili siyasi partinin aynı hesap döneminde edindiği taşınmaz ve değeri yüz milyon lirayı aşan taşınır malların, menkul kıymetlerin ve her türlü hakların değerleri ile edinim tarihlerini ve şekillerini de belirten listeleri eklenir.”</w:t>
      </w:r>
      <w:r w:rsidRPr="00C64428">
        <w:rPr>
          <w:rFonts w:eastAsia="Calibri"/>
          <w:color w:val="010000"/>
          <w:szCs w:val="19"/>
        </w:rPr>
        <w:t xml:space="preserve"> denilerek il örgütlerinden gönderilen kesin hesaplar ile parti genel merkezine ilişkin kesin hesabın merkez karar ve yönetim kurulunca incelenerek karara bağlanacağı ve birleştirileceği, birleştirilmiş kesin hesap cetvellerinin Anayasa Mahkemesine sunulacağı hükme bağlanmıştır.</w:t>
      </w:r>
    </w:p>
    <w:p w:rsidR="00C64428" w:rsidRPr="00C64428" w:rsidRDefault="00C64428" w:rsidP="00C64428">
      <w:pPr>
        <w:spacing w:after="200"/>
        <w:ind w:right="283" w:firstLine="709"/>
        <w:jc w:val="both"/>
        <w:rPr>
          <w:color w:val="010000"/>
          <w:szCs w:val="19"/>
        </w:rPr>
      </w:pPr>
      <w:r w:rsidRPr="00C64428">
        <w:rPr>
          <w:color w:val="010000"/>
          <w:szCs w:val="19"/>
        </w:rPr>
        <w:t>3. Yargıtay Cumhuriyet Başsavcılığının göndermiş olduğu yazıya ekli listeye göre Halkın Kurtuluş Partisinin örgütlenmiş olduğu 37 ile ilişkin olarak yıl içerisinde herhangi bir gelir ve giderin gerçekleşmediği ifade edilerek, 2013 yılı kesin hesapların gönderilmediği tespit edilmiştir.</w:t>
      </w:r>
    </w:p>
    <w:p w:rsidR="00C64428" w:rsidRPr="00C64428" w:rsidRDefault="00C64428" w:rsidP="00C64428">
      <w:pPr>
        <w:spacing w:after="200"/>
        <w:ind w:right="283" w:firstLine="709"/>
        <w:jc w:val="both"/>
        <w:rPr>
          <w:color w:val="010000"/>
          <w:szCs w:val="19"/>
        </w:rPr>
      </w:pPr>
      <w:r w:rsidRPr="00C64428">
        <w:rPr>
          <w:color w:val="010000"/>
          <w:szCs w:val="19"/>
        </w:rPr>
        <w:t>4. Siyasi partilerin faaliyetlerini yürüttükleri genel merkez, il, ilçe ve belde başkanlıklarına ait yerler partilerin kendilerine ait olabileceği gibi kiralık olarak da kullanılabilecektir. Şayet, parti yetkililerine ait veya bunların kendilerinin kullandıkları yerlerde siyasi parti faaliyette bulunuyor ise bu takdirde kira sözleşmesi düzenlenerek isabet eden tutarın partiye bağış olarak kaydedilmesi gerekir.</w:t>
      </w:r>
    </w:p>
    <w:p w:rsidR="00C64428" w:rsidRPr="00C64428" w:rsidRDefault="00C64428" w:rsidP="00C64428">
      <w:pPr>
        <w:spacing w:after="200"/>
        <w:ind w:right="283" w:firstLine="709"/>
        <w:jc w:val="both"/>
        <w:rPr>
          <w:color w:val="010000"/>
          <w:szCs w:val="19"/>
        </w:rPr>
      </w:pPr>
      <w:r w:rsidRPr="00C64428">
        <w:rPr>
          <w:color w:val="010000"/>
          <w:szCs w:val="19"/>
        </w:rPr>
        <w:t>5. Ayrıca, partilerin genel merkez, il, ilçe ve belde başkanlıklarının hayatın olağan akışı gereği kira, su, elektrik, posta, telefon, kırtasiye, tutulacak defterlerin satın alınması vb. bir takım genel yönetim giderlerini de yapması gerekir.</w:t>
      </w:r>
      <w:r w:rsidRPr="00C64428">
        <w:rPr>
          <w:color w:val="010000"/>
          <w:szCs w:val="19"/>
        </w:rPr>
        <w:t xml:space="preserve"> </w:t>
      </w:r>
    </w:p>
    <w:p w:rsidR="00C64428" w:rsidRPr="00C64428" w:rsidRDefault="00C64428" w:rsidP="00C64428">
      <w:pPr>
        <w:spacing w:after="200"/>
        <w:ind w:right="283" w:firstLine="709"/>
        <w:jc w:val="both"/>
        <w:rPr>
          <w:color w:val="010000"/>
          <w:szCs w:val="19"/>
        </w:rPr>
      </w:pPr>
      <w:r w:rsidRPr="00C64428">
        <w:rPr>
          <w:color w:val="010000"/>
          <w:szCs w:val="19"/>
        </w:rPr>
        <w:t xml:space="preserve">6. 2820 sayılı Kanun’un 69. maddesinde, bir siyasi partinin bütün gelirlerinin, o siyasi partinin tüzelkişiliği adına elde edileceği; 70. maddesinde, siyasi partilerin giderlerinin amaçlarına aykırı olamayacağı ve bir siyasi partinin bütün giderlerinin, o siyasi parti tüzelkişiliği adına yapılacağı; 111. maddesinin birinci fıkrasının (c) bendinde de yapılan inceleme ve araştırmaları </w:t>
      </w:r>
      <w:r w:rsidRPr="00C64428">
        <w:rPr>
          <w:color w:val="010000"/>
          <w:szCs w:val="19"/>
        </w:rPr>
        <w:lastRenderedPageBreak/>
        <w:t>engelleyen ve istenen bilgileri vermeyen parti sorumluları hakkında altı aydan bir yıla kadar hapis ve altmış milyon liradan az olmamak üzere ağır para cezası verileceği hüküm altına alınmıştır. Bu hükümlere göre, parti yetkililerinin genel yönetim giderlerini kendi imkânlarıyla karşılamaları mümkün değildir. Parti yetkililerinin, bu şekilde yapmış oldukları gider bedellerini partiye bağış geliri olarak kaydetmek suretiyle parti tüzelkişiliği adına hesaplara dâhil etmesi gerekir.</w:t>
      </w:r>
      <w:r w:rsidRPr="00C64428">
        <w:rPr>
          <w:color w:val="010000"/>
          <w:szCs w:val="19"/>
        </w:rPr>
        <w:t xml:space="preserve"> </w:t>
      </w:r>
    </w:p>
    <w:p w:rsidR="00C64428" w:rsidRPr="00C64428" w:rsidRDefault="00C64428" w:rsidP="00C64428">
      <w:pPr>
        <w:spacing w:after="200"/>
        <w:ind w:right="283" w:firstLine="709"/>
        <w:jc w:val="both"/>
        <w:rPr>
          <w:color w:val="010000"/>
          <w:szCs w:val="19"/>
        </w:rPr>
      </w:pPr>
      <w:r w:rsidRPr="00C64428">
        <w:rPr>
          <w:color w:val="010000"/>
          <w:szCs w:val="19"/>
        </w:rPr>
        <w:t>7. Yönetim giderlerinin hesaplarda görülmemesi kayıt dışı gelir ve gider oluşturulmuş olduğunu göstermektedir. Bu durumda, 2820 sayılı Kanun’un 69. ve 70. maddelerine aykırı davranılmış olmaktadır.</w:t>
      </w:r>
    </w:p>
    <w:p w:rsidR="00C64428" w:rsidRPr="00C64428" w:rsidRDefault="00C64428" w:rsidP="00C64428">
      <w:pPr>
        <w:spacing w:after="200"/>
        <w:ind w:right="283" w:firstLine="709"/>
        <w:jc w:val="both"/>
        <w:rPr>
          <w:color w:val="010000"/>
          <w:szCs w:val="19"/>
        </w:rPr>
      </w:pPr>
      <w:r w:rsidRPr="00C64428">
        <w:rPr>
          <w:color w:val="010000"/>
          <w:szCs w:val="19"/>
        </w:rPr>
        <w:t>8. Mahkemeye bilgilerin istendiği şekliyle verilmemesi, hesap verilebilir şekilde kayıt ve belge düzeninin oluşturulmaması, hesabın dışında gelir ve gider oluşturulması, inceleme ve araştırmayı engellemeye yönelik eylemler olduğundan dolayı 2820 sayılı Kanun’un 111. maddesinin birinci fıkrasının (c) bendine istinaden gerekli işlemlerin yapılmasını temin için Ankara Cumhuriyet Başsavcılığına suç duyurusunda bulunulması gerekir.</w:t>
      </w:r>
    </w:p>
    <w:p w:rsidR="00C64428" w:rsidRPr="00C64428" w:rsidRDefault="00C64428" w:rsidP="00C64428">
      <w:pPr>
        <w:spacing w:after="200"/>
        <w:ind w:right="283" w:firstLine="709"/>
        <w:jc w:val="both"/>
        <w:rPr>
          <w:color w:val="010000"/>
          <w:szCs w:val="19"/>
        </w:rPr>
      </w:pPr>
      <w:r w:rsidRPr="00C64428">
        <w:rPr>
          <w:color w:val="010000"/>
          <w:szCs w:val="19"/>
        </w:rPr>
        <w:t>9. Bu itibarla, Halkın Kurtuluş Partisinin 2013 yılı kesin hesabının incelenmesi sonucunda;</w:t>
      </w:r>
    </w:p>
    <w:p w:rsidR="00C64428" w:rsidRPr="00C64428" w:rsidRDefault="00C64428" w:rsidP="00C64428">
      <w:pPr>
        <w:spacing w:after="200"/>
        <w:ind w:right="283" w:firstLine="709"/>
        <w:jc w:val="both"/>
        <w:rPr>
          <w:color w:val="010000"/>
          <w:szCs w:val="19"/>
        </w:rPr>
      </w:pPr>
      <w:r w:rsidRPr="00C64428">
        <w:rPr>
          <w:color w:val="010000"/>
          <w:szCs w:val="19"/>
        </w:rPr>
        <w:t>1- Genel Merkeze ait kesin hesapların sunulmasından dolayı işin esasının incelenmesine;</w:t>
      </w:r>
      <w:r w:rsidRPr="00C64428">
        <w:rPr>
          <w:color w:val="010000"/>
          <w:szCs w:val="19"/>
        </w:rPr>
        <w:t xml:space="preserve"> </w:t>
      </w:r>
    </w:p>
    <w:p w:rsidR="00C64428" w:rsidRPr="00C64428" w:rsidRDefault="00C64428" w:rsidP="00C64428">
      <w:pPr>
        <w:spacing w:after="200"/>
        <w:ind w:right="283" w:firstLine="709"/>
        <w:jc w:val="both"/>
        <w:rPr>
          <w:color w:val="010000"/>
          <w:szCs w:val="19"/>
        </w:rPr>
      </w:pPr>
      <w:r w:rsidRPr="00C64428">
        <w:rPr>
          <w:color w:val="010000"/>
          <w:szCs w:val="19"/>
        </w:rPr>
        <w:t>2- Esas incelemenin yapılabilmesi amacıyla Genel Merkez kesin hesabının dayanağını oluşturan gelir-gider belgeleri ile bu belgelerin kaydedildiği defterleri Sayıştay Başkanlığına göndermesi için Partiye bu kararın tebliğinden itibaren 30 gün süre verilmesine,</w:t>
      </w:r>
    </w:p>
    <w:p w:rsidR="00C64428" w:rsidRPr="00C64428" w:rsidRDefault="00C64428" w:rsidP="00C64428">
      <w:pPr>
        <w:spacing w:after="200"/>
        <w:ind w:right="283" w:firstLine="709"/>
        <w:jc w:val="both"/>
        <w:rPr>
          <w:rFonts w:eastAsia="Calibri"/>
          <w:color w:val="010000"/>
          <w:szCs w:val="19"/>
        </w:rPr>
      </w:pPr>
      <w:r w:rsidRPr="00C64428">
        <w:rPr>
          <w:rFonts w:eastAsia="Calibri"/>
          <w:color w:val="010000"/>
          <w:szCs w:val="19"/>
        </w:rPr>
        <w:t>3- Anayasa Mahkemesine istenen bilgilerin istendiği şekliyle verilmemesi, hesap verilebilir şekilde kayıt ve belge düzeninin oluşturulmaması, hesabın dışında gelir ve gider yapılması, inceleme ve araştırmayı engellemeye yönelik eylemler olduğundan, Parti sorumluları hakkında 2820 sayılı Kanun’un 111. maddesinin birinci fıkrasının (c) bendi uyarınca yasal işlem yapılması için Ankara Cumhuriyet Başsavcılığına suç duyurusunda bulunulmasına, OYBİRLİĞİYLE karar verilmiştir.</w:t>
      </w:r>
    </w:p>
    <w:p w:rsidR="00C64428" w:rsidRPr="00C64428" w:rsidRDefault="00C64428" w:rsidP="00C64428">
      <w:pPr>
        <w:spacing w:after="200"/>
        <w:ind w:right="283" w:firstLine="709"/>
        <w:jc w:val="both"/>
        <w:rPr>
          <w:color w:val="010000"/>
          <w:szCs w:val="22"/>
        </w:rPr>
      </w:pPr>
      <w:r w:rsidRPr="00C64428">
        <w:rPr>
          <w:b/>
          <w:bCs/>
          <w:color w:val="010000"/>
          <w:szCs w:val="22"/>
        </w:rPr>
        <w:t>III- ESASIN İNCELENMESİ</w:t>
      </w:r>
    </w:p>
    <w:p w:rsidR="00C64428" w:rsidRPr="00C64428" w:rsidRDefault="00C64428" w:rsidP="00C64428">
      <w:pPr>
        <w:spacing w:after="200"/>
        <w:ind w:right="283" w:firstLine="709"/>
        <w:jc w:val="both"/>
        <w:rPr>
          <w:color w:val="010000"/>
          <w:szCs w:val="19"/>
        </w:rPr>
      </w:pPr>
      <w:r w:rsidRPr="00C64428">
        <w:rPr>
          <w:color w:val="010000"/>
          <w:szCs w:val="19"/>
        </w:rPr>
        <w:t>10. Halkın Kurtuluş Partisi’nin, Anayasa Mahkemesine verdiği 2013 yılı kesin hesap çizelgeleri ile dayanağını oluşturan defter ve belgeler üzerinde yapılan inceleme sonuçlarını içeren ve Raportör Sadettin CEYHAN tarafından heyete sunulan esas inceleme raporu, Anayasa ve 6216 sayılı Anayasa Mahkemesinin Kuruluşu ve Yargılama Usulleri Hakkında Kanun ile 2820 sayılı Siyasi Partiler Kanunu’nun ilgili kuralları, bunların gerekçeleri ve diğer yasama belgeleri okunup incelendikten sonra gereği görüşülüp düşünüldü:</w:t>
      </w:r>
    </w:p>
    <w:p w:rsidR="00C64428" w:rsidRPr="00C64428" w:rsidRDefault="00C64428" w:rsidP="00C64428">
      <w:pPr>
        <w:spacing w:after="200"/>
        <w:ind w:right="283" w:firstLine="709"/>
        <w:jc w:val="both"/>
        <w:rPr>
          <w:color w:val="010000"/>
          <w:szCs w:val="19"/>
        </w:rPr>
      </w:pPr>
      <w:r w:rsidRPr="00C64428">
        <w:rPr>
          <w:color w:val="010000"/>
          <w:szCs w:val="19"/>
        </w:rPr>
        <w:t xml:space="preserve">11. Denetimin maddi öğelerini oluşturan defter ve belgelerde Partinin 2013 yılı gelirlerinin </w:t>
      </w:r>
      <w:r w:rsidRPr="00C64428">
        <w:rPr>
          <w:rFonts w:eastAsia="Calibri"/>
          <w:color w:val="010000"/>
          <w:szCs w:val="19"/>
        </w:rPr>
        <w:t>107.695,56</w:t>
      </w:r>
      <w:r w:rsidRPr="00C64428">
        <w:rPr>
          <w:color w:val="010000"/>
          <w:szCs w:val="19"/>
        </w:rPr>
        <w:t xml:space="preserve"> TL, giderler toplamının </w:t>
      </w:r>
      <w:r w:rsidRPr="00C64428">
        <w:rPr>
          <w:rFonts w:eastAsia="Calibri"/>
          <w:color w:val="010000"/>
          <w:szCs w:val="19"/>
        </w:rPr>
        <w:t>107.733,22</w:t>
      </w:r>
      <w:r w:rsidRPr="00C64428">
        <w:rPr>
          <w:color w:val="010000"/>
          <w:szCs w:val="19"/>
        </w:rPr>
        <w:t xml:space="preserve"> TL olduğu anlaşılmaktadır.</w:t>
      </w:r>
    </w:p>
    <w:p w:rsidR="00C64428" w:rsidRPr="00C64428" w:rsidRDefault="00C64428" w:rsidP="00C64428">
      <w:pPr>
        <w:spacing w:after="200"/>
        <w:ind w:right="283" w:firstLine="709"/>
        <w:jc w:val="both"/>
        <w:rPr>
          <w:color w:val="010000"/>
          <w:szCs w:val="19"/>
        </w:rPr>
      </w:pPr>
      <w:r w:rsidRPr="00C64428">
        <w:rPr>
          <w:color w:val="010000"/>
          <w:szCs w:val="19"/>
        </w:rPr>
        <w:t>12. Partinin 2013 yılı kesin hesabının gelir ve gider rakamlarının yukarıda açıklanan tutarlardan oluştuğu, bu haliyle 2013 yılı kesin hesabının doğru, denk ve 2820 sayılı Kanun’a uygun olduğu sonucuna varılmıştır.</w:t>
      </w:r>
    </w:p>
    <w:p w:rsidR="00C64428" w:rsidRPr="00C64428" w:rsidRDefault="00C64428" w:rsidP="00C64428">
      <w:pPr>
        <w:spacing w:after="200"/>
        <w:ind w:right="283" w:firstLine="709"/>
        <w:jc w:val="both"/>
        <w:rPr>
          <w:color w:val="010000"/>
          <w:szCs w:val="22"/>
        </w:rPr>
      </w:pPr>
      <w:r w:rsidRPr="00C64428">
        <w:rPr>
          <w:b/>
          <w:bCs/>
          <w:color w:val="010000"/>
          <w:szCs w:val="22"/>
        </w:rPr>
        <w:t>A- Gelirlerin İncelenmesi</w:t>
      </w:r>
    </w:p>
    <w:p w:rsidR="00C64428" w:rsidRPr="00C64428" w:rsidRDefault="00C64428" w:rsidP="00C64428">
      <w:pPr>
        <w:numPr>
          <w:ilvl w:val="0"/>
          <w:numId w:val="1"/>
        </w:numPr>
        <w:spacing w:after="200"/>
        <w:ind w:left="0" w:right="283" w:firstLine="709"/>
        <w:jc w:val="both"/>
        <w:rPr>
          <w:color w:val="010000"/>
          <w:szCs w:val="22"/>
        </w:rPr>
      </w:pPr>
      <w:r w:rsidRPr="00C64428">
        <w:rPr>
          <w:b/>
          <w:bCs/>
          <w:color w:val="010000"/>
          <w:szCs w:val="22"/>
        </w:rPr>
        <w:t>Genel Merkez Gelirleri</w:t>
      </w:r>
    </w:p>
    <w:p w:rsidR="00C64428" w:rsidRPr="00C64428" w:rsidRDefault="00C64428" w:rsidP="00C64428">
      <w:pPr>
        <w:spacing w:after="200"/>
        <w:ind w:right="283" w:firstLine="709"/>
        <w:jc w:val="both"/>
        <w:rPr>
          <w:color w:val="010000"/>
          <w:szCs w:val="19"/>
        </w:rPr>
      </w:pPr>
      <w:r w:rsidRPr="00C64428">
        <w:rPr>
          <w:color w:val="010000"/>
          <w:szCs w:val="19"/>
        </w:rPr>
        <w:t xml:space="preserve">13. Partinin Genel Merkez gelirleri toplamı 16.900,00 TL olup bunun tamamı bağış ve yardımlardan oluşmaktadır. </w:t>
      </w:r>
    </w:p>
    <w:p w:rsidR="00C64428" w:rsidRPr="00C64428" w:rsidRDefault="00C64428" w:rsidP="00C64428">
      <w:pPr>
        <w:spacing w:after="200"/>
        <w:ind w:right="283" w:firstLine="709"/>
        <w:jc w:val="both"/>
        <w:rPr>
          <w:color w:val="010000"/>
          <w:szCs w:val="19"/>
        </w:rPr>
      </w:pPr>
      <w:r w:rsidRPr="00C64428">
        <w:rPr>
          <w:color w:val="010000"/>
          <w:szCs w:val="19"/>
        </w:rPr>
        <w:lastRenderedPageBreak/>
        <w:t>14. Parti Genel Merkezinin defter kayıtları ve gelir belgeleri üzerinde yapılan incelemede, gelirlerin 2820 sayılı Kanun’a uygun olarak sağlandığı sonucuna varılmıştır.</w:t>
      </w:r>
    </w:p>
    <w:p w:rsidR="00C64428" w:rsidRPr="00C64428" w:rsidRDefault="00C64428" w:rsidP="00C64428">
      <w:pPr>
        <w:spacing w:after="200"/>
        <w:ind w:right="283" w:firstLine="709"/>
        <w:jc w:val="both"/>
        <w:rPr>
          <w:b/>
          <w:bCs/>
          <w:color w:val="010000"/>
          <w:szCs w:val="22"/>
        </w:rPr>
      </w:pPr>
      <w:r w:rsidRPr="00C64428">
        <w:rPr>
          <w:b/>
          <w:bCs/>
          <w:color w:val="010000"/>
          <w:szCs w:val="22"/>
        </w:rPr>
        <w:t>2- İl Örgütleri Gelirleri</w:t>
      </w:r>
    </w:p>
    <w:p w:rsidR="00C64428" w:rsidRPr="00C64428" w:rsidRDefault="00C64428" w:rsidP="00C64428">
      <w:pPr>
        <w:spacing w:after="200"/>
        <w:ind w:right="283" w:firstLine="709"/>
        <w:jc w:val="both"/>
        <w:rPr>
          <w:bCs/>
          <w:color w:val="010000"/>
          <w:szCs w:val="19"/>
        </w:rPr>
      </w:pPr>
      <w:r w:rsidRPr="00C64428">
        <w:rPr>
          <w:bCs/>
          <w:color w:val="010000"/>
          <w:szCs w:val="19"/>
        </w:rPr>
        <w:t>15. Partinin 2013 yılında il örgütlerine ilişkin gelirleri toplamı 90.795,56 TL olup, bunun 12,00 TL’si üye giriş aidatından, 13.340,00 TL’si üye yıllık aidatından ve 77.443,56 TL’si bağışlardan oluşmaktadır.</w:t>
      </w:r>
    </w:p>
    <w:p w:rsidR="00C64428" w:rsidRPr="00C64428" w:rsidRDefault="00C64428" w:rsidP="00C64428">
      <w:pPr>
        <w:spacing w:after="200"/>
        <w:ind w:right="283" w:firstLine="709"/>
        <w:jc w:val="both"/>
        <w:rPr>
          <w:color w:val="010000"/>
          <w:szCs w:val="19"/>
        </w:rPr>
      </w:pPr>
      <w:r w:rsidRPr="00C64428">
        <w:rPr>
          <w:color w:val="010000"/>
          <w:szCs w:val="19"/>
        </w:rPr>
        <w:t>16. Parti İl Örgütlerinin defter kayıtları ve gelir belgeleri üzerinde yapılan incelemede, gelirlerin 2820 sayılı Kanun’a uygun olarak sağlandığı sonucuna varılmıştır.</w:t>
      </w:r>
    </w:p>
    <w:p w:rsidR="00C64428" w:rsidRPr="00C64428" w:rsidRDefault="00C64428" w:rsidP="00C64428">
      <w:pPr>
        <w:spacing w:after="200"/>
        <w:ind w:right="283" w:firstLine="709"/>
        <w:jc w:val="both"/>
        <w:rPr>
          <w:color w:val="010000"/>
          <w:szCs w:val="22"/>
        </w:rPr>
      </w:pPr>
      <w:r w:rsidRPr="00C64428">
        <w:rPr>
          <w:b/>
          <w:bCs/>
          <w:color w:val="010000"/>
          <w:szCs w:val="22"/>
        </w:rPr>
        <w:t>B- Giderlerin İncelenmesi</w:t>
      </w:r>
    </w:p>
    <w:p w:rsidR="00C64428" w:rsidRPr="00C64428" w:rsidRDefault="00C64428" w:rsidP="00C64428">
      <w:pPr>
        <w:numPr>
          <w:ilvl w:val="0"/>
          <w:numId w:val="2"/>
        </w:numPr>
        <w:spacing w:after="200"/>
        <w:ind w:left="0" w:right="283" w:firstLine="709"/>
        <w:jc w:val="both"/>
        <w:rPr>
          <w:b/>
          <w:bCs/>
          <w:color w:val="010000"/>
          <w:szCs w:val="22"/>
        </w:rPr>
      </w:pPr>
      <w:r w:rsidRPr="00C64428">
        <w:rPr>
          <w:b/>
          <w:bCs/>
          <w:color w:val="010000"/>
          <w:szCs w:val="22"/>
        </w:rPr>
        <w:t>Genel Merkez Giderleri</w:t>
      </w:r>
    </w:p>
    <w:p w:rsidR="00C64428" w:rsidRPr="00C64428" w:rsidRDefault="00C64428" w:rsidP="00C64428">
      <w:pPr>
        <w:spacing w:after="200"/>
        <w:ind w:right="283" w:firstLine="709"/>
        <w:jc w:val="both"/>
        <w:rPr>
          <w:color w:val="010000"/>
          <w:szCs w:val="19"/>
        </w:rPr>
      </w:pPr>
      <w:r w:rsidRPr="00C64428">
        <w:rPr>
          <w:color w:val="010000"/>
          <w:szCs w:val="19"/>
        </w:rPr>
        <w:t>17. Partinin Genel Merkez giderleri toplamı 16.906,33 TL olup, bunun 1.717,79 TL’si haberleşme giderlerinden, 13.200,00 TL’si kira giderlerinden ve 1.988,54 TL’si ısınma, aydınlatma ve temizlik giderlerinden oluşmaktadır.</w:t>
      </w:r>
    </w:p>
    <w:p w:rsidR="00C64428" w:rsidRPr="00C64428" w:rsidRDefault="00C64428" w:rsidP="00C64428">
      <w:pPr>
        <w:spacing w:after="200"/>
        <w:ind w:right="283" w:firstLine="709"/>
        <w:jc w:val="both"/>
        <w:rPr>
          <w:color w:val="010000"/>
          <w:szCs w:val="19"/>
        </w:rPr>
      </w:pPr>
      <w:r w:rsidRPr="00C64428">
        <w:rPr>
          <w:color w:val="010000"/>
          <w:szCs w:val="19"/>
        </w:rPr>
        <w:t>18. Parti Genel Merkezinin 2014 yılına devreden nakit mevcudu ise 34,20 TL’dir.</w:t>
      </w:r>
    </w:p>
    <w:p w:rsidR="00C64428" w:rsidRPr="00C64428" w:rsidRDefault="00C64428" w:rsidP="00C64428">
      <w:pPr>
        <w:spacing w:after="200"/>
        <w:ind w:right="283" w:firstLine="709"/>
        <w:jc w:val="both"/>
        <w:rPr>
          <w:color w:val="010000"/>
          <w:szCs w:val="19"/>
        </w:rPr>
      </w:pPr>
      <w:r w:rsidRPr="00C64428">
        <w:rPr>
          <w:color w:val="010000"/>
          <w:szCs w:val="19"/>
        </w:rPr>
        <w:t>19. Parti Genel Merkezinin defter kayıtları ve gider belgeleri üzerinde yapılan incelemede, giderlerin 2820 sayılı Kanun’a uygun olarak gerçekleştirildiği sonucuna varılmıştır.</w:t>
      </w:r>
    </w:p>
    <w:p w:rsidR="00C64428" w:rsidRPr="00C64428" w:rsidRDefault="00C64428" w:rsidP="00C64428">
      <w:pPr>
        <w:spacing w:after="200"/>
        <w:ind w:right="283" w:firstLine="709"/>
        <w:jc w:val="both"/>
        <w:rPr>
          <w:b/>
          <w:bCs/>
          <w:color w:val="010000"/>
          <w:szCs w:val="22"/>
        </w:rPr>
      </w:pPr>
      <w:r w:rsidRPr="00C64428">
        <w:rPr>
          <w:b/>
          <w:bCs/>
          <w:color w:val="010000"/>
          <w:szCs w:val="22"/>
        </w:rPr>
        <w:t>2- İl Örgütleri Giderleri</w:t>
      </w:r>
    </w:p>
    <w:p w:rsidR="00C64428" w:rsidRPr="00C64428" w:rsidRDefault="00C64428" w:rsidP="00C64428">
      <w:pPr>
        <w:spacing w:after="200"/>
        <w:ind w:right="283" w:firstLine="709"/>
        <w:jc w:val="both"/>
        <w:rPr>
          <w:color w:val="010000"/>
          <w:szCs w:val="19"/>
        </w:rPr>
      </w:pPr>
      <w:r w:rsidRPr="00C64428">
        <w:rPr>
          <w:color w:val="010000"/>
          <w:szCs w:val="19"/>
        </w:rPr>
        <w:t>20. Partinin 2013 Yılında il örgütlerine ilişkin giderler toplamı 90.826,89 TL olup, bunun 893,99 TL’si kırtasiye, büro ve kargo giderlerinden, 3.200,36 TL’si haberleşme giderlerinden, 89,62 TL’si taşıma giderinden,76.725,00 TL’si kira giderlerinden ve 9.917,92 TL’si ısınma, aydınlatma ve temizlik giderlerinden oluşmaktadır.</w:t>
      </w:r>
    </w:p>
    <w:p w:rsidR="00C64428" w:rsidRPr="00C64428" w:rsidRDefault="00C64428" w:rsidP="00C64428">
      <w:pPr>
        <w:spacing w:after="200"/>
        <w:ind w:right="283" w:firstLine="709"/>
        <w:jc w:val="both"/>
        <w:rPr>
          <w:color w:val="010000"/>
          <w:szCs w:val="19"/>
        </w:rPr>
      </w:pPr>
      <w:r w:rsidRPr="00C64428">
        <w:rPr>
          <w:color w:val="010000"/>
          <w:szCs w:val="19"/>
        </w:rPr>
        <w:t>21. Parti İl örgütlerinin 2014 yılına devreden nakit mevcudu ise 483,33 TL’dir.</w:t>
      </w:r>
    </w:p>
    <w:p w:rsidR="00C64428" w:rsidRPr="00C64428" w:rsidRDefault="00C64428" w:rsidP="00C64428">
      <w:pPr>
        <w:spacing w:after="200"/>
        <w:ind w:right="283" w:firstLine="709"/>
        <w:jc w:val="both"/>
        <w:rPr>
          <w:color w:val="010000"/>
          <w:szCs w:val="19"/>
        </w:rPr>
      </w:pPr>
      <w:r w:rsidRPr="00C64428">
        <w:rPr>
          <w:color w:val="010000"/>
          <w:szCs w:val="19"/>
        </w:rPr>
        <w:t>22. Parti İl Örgütlerinin defter kayıtları ve gider belgeleri üzerinde yapılan incelemede, giderlerin 2820 sayılı Kanun’a uygun olarak sağlandığı sonucuna varılmıştır.</w:t>
      </w:r>
    </w:p>
    <w:p w:rsidR="00C64428" w:rsidRPr="00C64428" w:rsidRDefault="00C64428" w:rsidP="00C64428">
      <w:pPr>
        <w:spacing w:after="200"/>
        <w:ind w:right="283" w:firstLine="709"/>
        <w:jc w:val="both"/>
        <w:rPr>
          <w:color w:val="010000"/>
          <w:szCs w:val="22"/>
        </w:rPr>
      </w:pPr>
      <w:r w:rsidRPr="00C64428">
        <w:rPr>
          <w:b/>
          <w:bCs/>
          <w:color w:val="010000"/>
          <w:szCs w:val="22"/>
        </w:rPr>
        <w:t>C- Parti Malları</w:t>
      </w:r>
    </w:p>
    <w:p w:rsidR="00C64428" w:rsidRPr="00C64428" w:rsidRDefault="00C64428" w:rsidP="00C64428">
      <w:pPr>
        <w:spacing w:after="200"/>
        <w:ind w:right="283" w:firstLine="709"/>
        <w:jc w:val="both"/>
        <w:rPr>
          <w:color w:val="010000"/>
          <w:szCs w:val="19"/>
        </w:rPr>
      </w:pPr>
      <w:r w:rsidRPr="00C64428">
        <w:rPr>
          <w:color w:val="010000"/>
          <w:szCs w:val="19"/>
        </w:rPr>
        <w:t xml:space="preserve">23. Partinin 2013 yılı defter ve belgeleri üzerinde yapılan incelemede, </w:t>
      </w:r>
      <w:r w:rsidRPr="00C64428">
        <w:rPr>
          <w:rFonts w:eastAsia="Calibri"/>
          <w:color w:val="010000"/>
          <w:szCs w:val="19"/>
        </w:rPr>
        <w:t>partinin 2013 yılında herhangi bir taşınmaz ile değeri 100,00 TL’yi aşan taşınır, menkul kıymet ve hak ediniminde bulunmadığı anlaşılmıştır.</w:t>
      </w:r>
      <w:r w:rsidRPr="00C64428">
        <w:rPr>
          <w:color w:val="010000"/>
          <w:szCs w:val="19"/>
        </w:rPr>
        <w:t xml:space="preserve"> </w:t>
      </w:r>
    </w:p>
    <w:p w:rsidR="00C64428" w:rsidRPr="00C64428" w:rsidRDefault="00C64428" w:rsidP="00C64428">
      <w:pPr>
        <w:spacing w:after="200"/>
        <w:ind w:right="283" w:firstLine="709"/>
        <w:jc w:val="both"/>
        <w:rPr>
          <w:color w:val="010000"/>
          <w:szCs w:val="22"/>
        </w:rPr>
      </w:pPr>
      <w:r w:rsidRPr="00C64428">
        <w:rPr>
          <w:b/>
          <w:bCs/>
          <w:color w:val="010000"/>
          <w:szCs w:val="22"/>
        </w:rPr>
        <w:t>IV- SONUÇ</w:t>
      </w:r>
    </w:p>
    <w:p w:rsidR="00C64428" w:rsidRPr="00C64428" w:rsidRDefault="00C64428" w:rsidP="00C64428">
      <w:pPr>
        <w:spacing w:after="200"/>
        <w:ind w:right="283" w:firstLine="709"/>
        <w:jc w:val="both"/>
        <w:rPr>
          <w:color w:val="010000"/>
          <w:szCs w:val="19"/>
        </w:rPr>
      </w:pPr>
      <w:r w:rsidRPr="00C64428">
        <w:rPr>
          <w:color w:val="010000"/>
          <w:szCs w:val="19"/>
        </w:rPr>
        <w:t>Halkın Kurtuluş Partisinin 2013 yılı kesin hesabının incelenmesi sonucunda;</w:t>
      </w:r>
    </w:p>
    <w:p w:rsidR="00C64428" w:rsidRPr="00C64428" w:rsidRDefault="00C64428" w:rsidP="00C64428">
      <w:pPr>
        <w:spacing w:after="200"/>
        <w:ind w:right="283" w:firstLine="709"/>
        <w:jc w:val="both"/>
        <w:rPr>
          <w:color w:val="010000"/>
          <w:szCs w:val="19"/>
        </w:rPr>
      </w:pPr>
      <w:r w:rsidRPr="00C64428">
        <w:rPr>
          <w:color w:val="010000"/>
          <w:szCs w:val="19"/>
        </w:rPr>
        <w:t xml:space="preserve">Partinin 2013 yılı kesin hesabında gösterilen </w:t>
      </w:r>
      <w:r w:rsidRPr="00C64428">
        <w:rPr>
          <w:rFonts w:eastAsia="Calibri"/>
          <w:color w:val="010000"/>
          <w:szCs w:val="19"/>
        </w:rPr>
        <w:t>107.695,56</w:t>
      </w:r>
      <w:r w:rsidRPr="00C64428">
        <w:rPr>
          <w:color w:val="010000"/>
          <w:szCs w:val="19"/>
        </w:rPr>
        <w:t xml:space="preserve"> TL gelir ve </w:t>
      </w:r>
      <w:r w:rsidRPr="00C64428">
        <w:rPr>
          <w:rFonts w:eastAsia="Calibri"/>
          <w:color w:val="010000"/>
          <w:szCs w:val="19"/>
        </w:rPr>
        <w:t>107.733,22</w:t>
      </w:r>
      <w:r w:rsidRPr="00C64428">
        <w:rPr>
          <w:color w:val="010000"/>
          <w:szCs w:val="19"/>
        </w:rPr>
        <w:t>TL giderin eldeki bilgi ve belgelere göre doğru, denk ve 2820 sayılı Siyasi Partiler Kanunu’na uygun olduğuna,</w:t>
      </w:r>
      <w:r w:rsidRPr="00C64428">
        <w:rPr>
          <w:color w:val="010000"/>
          <w:szCs w:val="19"/>
        </w:rPr>
        <w:t xml:space="preserve"> </w:t>
      </w:r>
      <w:r w:rsidRPr="00C64428">
        <w:rPr>
          <w:color w:val="010000"/>
          <w:szCs w:val="19"/>
        </w:rPr>
        <w:t>1.7.2015 tarihinde OYBİRLİĞİYLE karar verildi.</w:t>
      </w:r>
    </w:p>
    <w:p w:rsidR="00C64428" w:rsidRPr="00C64428" w:rsidRDefault="00C64428" w:rsidP="00C64428">
      <w:pPr>
        <w:spacing w:after="200"/>
        <w:ind w:right="283" w:firstLine="709"/>
        <w:jc w:val="both"/>
        <w:rPr>
          <w:color w:val="010000"/>
          <w:szCs w:val="19"/>
        </w:rPr>
      </w:pPr>
    </w:p>
    <w:p w:rsidR="00C64428" w:rsidRDefault="00C64428">
      <w:bookmarkStart w:id="0" w:name="_GoBack"/>
      <w:bookmarkEnd w:id="0"/>
    </w:p>
    <w:tbl>
      <w:tblPr>
        <w:tblW w:w="5000" w:type="pct"/>
        <w:jc w:val="center"/>
        <w:tblCellMar>
          <w:left w:w="70" w:type="dxa"/>
          <w:right w:w="70" w:type="dxa"/>
        </w:tblCellMar>
        <w:tblLook w:val="04A0" w:firstRow="1" w:lastRow="0" w:firstColumn="1" w:lastColumn="0" w:noHBand="0" w:noVBand="1"/>
      </w:tblPr>
      <w:tblGrid>
        <w:gridCol w:w="3303"/>
        <w:gridCol w:w="3261"/>
        <w:gridCol w:w="3216"/>
      </w:tblGrid>
      <w:tr w:rsidR="00C64428" w:rsidRPr="00C64428" w:rsidTr="00C64428">
        <w:trPr>
          <w:jc w:val="center"/>
        </w:trPr>
        <w:tc>
          <w:tcPr>
            <w:tcW w:w="1689" w:type="pct"/>
            <w:hideMark/>
          </w:tcPr>
          <w:p w:rsidR="00C64428" w:rsidRPr="00C64428" w:rsidRDefault="00C64428" w:rsidP="00C64428">
            <w:pPr>
              <w:spacing w:before="240" w:after="240"/>
              <w:jc w:val="center"/>
              <w:rPr>
                <w:rFonts w:eastAsia="Calibri"/>
                <w:color w:val="010000"/>
                <w:szCs w:val="19"/>
                <w:lang w:eastAsia="en-US"/>
              </w:rPr>
            </w:pPr>
            <w:r w:rsidRPr="00C64428">
              <w:rPr>
                <w:color w:val="010000"/>
                <w:szCs w:val="19"/>
              </w:rPr>
              <w:lastRenderedPageBreak/>
              <w:t>Başkan</w:t>
            </w:r>
          </w:p>
          <w:p w:rsidR="00C64428" w:rsidRPr="00C64428" w:rsidRDefault="00C64428" w:rsidP="00C64428">
            <w:pPr>
              <w:spacing w:before="240" w:after="240"/>
              <w:jc w:val="center"/>
              <w:rPr>
                <w:color w:val="010000"/>
                <w:szCs w:val="19"/>
                <w:lang w:eastAsia="en-US"/>
              </w:rPr>
            </w:pPr>
            <w:r w:rsidRPr="00C64428">
              <w:rPr>
                <w:color w:val="010000"/>
                <w:szCs w:val="19"/>
              </w:rPr>
              <w:t>Zühtü ARSLAN</w:t>
            </w:r>
          </w:p>
        </w:tc>
        <w:tc>
          <w:tcPr>
            <w:tcW w:w="1667" w:type="pct"/>
            <w:hideMark/>
          </w:tcPr>
          <w:p w:rsidR="00C64428" w:rsidRPr="00C64428" w:rsidRDefault="00C64428" w:rsidP="00C64428">
            <w:pPr>
              <w:spacing w:before="240" w:after="240"/>
              <w:jc w:val="center"/>
              <w:rPr>
                <w:rFonts w:eastAsia="Calibri"/>
                <w:color w:val="010000"/>
                <w:szCs w:val="19"/>
                <w:lang w:eastAsia="en-US"/>
              </w:rPr>
            </w:pPr>
            <w:r w:rsidRPr="00C64428">
              <w:rPr>
                <w:color w:val="010000"/>
                <w:szCs w:val="19"/>
              </w:rPr>
              <w:t>Başkanvekili</w:t>
            </w:r>
          </w:p>
          <w:p w:rsidR="00C64428" w:rsidRPr="00C64428" w:rsidRDefault="00C64428" w:rsidP="00C64428">
            <w:pPr>
              <w:spacing w:before="240" w:after="240"/>
              <w:jc w:val="center"/>
              <w:rPr>
                <w:color w:val="010000"/>
                <w:szCs w:val="19"/>
                <w:lang w:eastAsia="en-US"/>
              </w:rPr>
            </w:pPr>
            <w:r w:rsidRPr="00C64428">
              <w:rPr>
                <w:color w:val="010000"/>
                <w:szCs w:val="19"/>
              </w:rPr>
              <w:t>Burhan ÜSTÜN</w:t>
            </w:r>
          </w:p>
        </w:tc>
        <w:tc>
          <w:tcPr>
            <w:tcW w:w="1644" w:type="pct"/>
            <w:hideMark/>
          </w:tcPr>
          <w:p w:rsidR="00C64428" w:rsidRPr="00C64428" w:rsidRDefault="00C64428" w:rsidP="00C64428">
            <w:pPr>
              <w:spacing w:before="240" w:after="240"/>
              <w:jc w:val="center"/>
              <w:rPr>
                <w:rFonts w:eastAsia="Calibri"/>
                <w:color w:val="010000"/>
                <w:szCs w:val="19"/>
                <w:lang w:eastAsia="en-US"/>
              </w:rPr>
            </w:pPr>
            <w:r w:rsidRPr="00C64428">
              <w:rPr>
                <w:color w:val="010000"/>
                <w:szCs w:val="19"/>
              </w:rPr>
              <w:t>Üye</w:t>
            </w:r>
          </w:p>
          <w:p w:rsidR="00C64428" w:rsidRPr="00C64428" w:rsidRDefault="00C64428" w:rsidP="00C64428">
            <w:pPr>
              <w:spacing w:before="240" w:after="240"/>
              <w:jc w:val="center"/>
              <w:rPr>
                <w:color w:val="010000"/>
                <w:szCs w:val="19"/>
                <w:lang w:eastAsia="en-US"/>
              </w:rPr>
            </w:pPr>
            <w:r w:rsidRPr="00C64428">
              <w:rPr>
                <w:color w:val="010000"/>
                <w:szCs w:val="19"/>
              </w:rPr>
              <w:t>Serdar ÖZGÜLDÜR</w:t>
            </w:r>
          </w:p>
        </w:tc>
      </w:tr>
      <w:tr w:rsidR="00C64428" w:rsidRPr="00C64428" w:rsidTr="00C64428">
        <w:trPr>
          <w:jc w:val="center"/>
        </w:trPr>
        <w:tc>
          <w:tcPr>
            <w:tcW w:w="1689" w:type="pct"/>
            <w:hideMark/>
          </w:tcPr>
          <w:p w:rsidR="00C64428" w:rsidRPr="00C64428" w:rsidRDefault="00C64428" w:rsidP="00C64428">
            <w:pPr>
              <w:spacing w:before="240" w:after="240"/>
              <w:jc w:val="center"/>
              <w:rPr>
                <w:rFonts w:eastAsia="Calibri"/>
                <w:color w:val="010000"/>
                <w:szCs w:val="19"/>
                <w:lang w:eastAsia="en-US"/>
              </w:rPr>
            </w:pPr>
            <w:r w:rsidRPr="00C64428">
              <w:rPr>
                <w:color w:val="010000"/>
                <w:szCs w:val="19"/>
              </w:rPr>
              <w:t>Üye</w:t>
            </w:r>
          </w:p>
          <w:p w:rsidR="00C64428" w:rsidRPr="00C64428" w:rsidRDefault="00C64428" w:rsidP="00C64428">
            <w:pPr>
              <w:spacing w:before="240" w:after="240"/>
              <w:jc w:val="center"/>
              <w:rPr>
                <w:color w:val="010000"/>
                <w:szCs w:val="19"/>
                <w:lang w:eastAsia="en-US"/>
              </w:rPr>
            </w:pPr>
            <w:r w:rsidRPr="00C64428">
              <w:rPr>
                <w:color w:val="010000"/>
                <w:szCs w:val="19"/>
              </w:rPr>
              <w:t xml:space="preserve"> Osman </w:t>
            </w:r>
            <w:proofErr w:type="spellStart"/>
            <w:r w:rsidRPr="00C64428">
              <w:rPr>
                <w:color w:val="010000"/>
                <w:szCs w:val="19"/>
              </w:rPr>
              <w:t>Alifeyyaz</w:t>
            </w:r>
            <w:proofErr w:type="spellEnd"/>
            <w:r w:rsidRPr="00C64428">
              <w:rPr>
                <w:color w:val="010000"/>
                <w:szCs w:val="19"/>
              </w:rPr>
              <w:t xml:space="preserve"> PAKSÜT</w:t>
            </w:r>
          </w:p>
        </w:tc>
        <w:tc>
          <w:tcPr>
            <w:tcW w:w="1667" w:type="pct"/>
            <w:hideMark/>
          </w:tcPr>
          <w:p w:rsidR="00C64428" w:rsidRPr="00C64428" w:rsidRDefault="00C64428" w:rsidP="00C64428">
            <w:pPr>
              <w:spacing w:before="240" w:after="240"/>
              <w:jc w:val="center"/>
              <w:rPr>
                <w:rFonts w:eastAsia="Calibri"/>
                <w:color w:val="010000"/>
                <w:szCs w:val="19"/>
                <w:lang w:eastAsia="en-US"/>
              </w:rPr>
            </w:pPr>
            <w:r w:rsidRPr="00C64428">
              <w:rPr>
                <w:color w:val="010000"/>
                <w:szCs w:val="19"/>
              </w:rPr>
              <w:t>Üye</w:t>
            </w:r>
          </w:p>
          <w:p w:rsidR="00C64428" w:rsidRPr="00C64428" w:rsidRDefault="00C64428" w:rsidP="00C64428">
            <w:pPr>
              <w:spacing w:before="240" w:after="240"/>
              <w:jc w:val="center"/>
              <w:rPr>
                <w:color w:val="010000"/>
                <w:szCs w:val="19"/>
                <w:lang w:eastAsia="en-US"/>
              </w:rPr>
            </w:pPr>
            <w:r w:rsidRPr="00C64428">
              <w:rPr>
                <w:color w:val="010000"/>
                <w:szCs w:val="19"/>
              </w:rPr>
              <w:t xml:space="preserve"> Recep KÖMÜRCÜ</w:t>
            </w:r>
          </w:p>
        </w:tc>
        <w:tc>
          <w:tcPr>
            <w:tcW w:w="1644" w:type="pct"/>
            <w:hideMark/>
          </w:tcPr>
          <w:p w:rsidR="00C64428" w:rsidRPr="00C64428" w:rsidRDefault="00C64428" w:rsidP="00C64428">
            <w:pPr>
              <w:spacing w:before="240" w:after="240"/>
              <w:jc w:val="center"/>
              <w:rPr>
                <w:rFonts w:eastAsia="Calibri"/>
                <w:color w:val="010000"/>
                <w:szCs w:val="19"/>
                <w:lang w:eastAsia="en-US"/>
              </w:rPr>
            </w:pPr>
            <w:r w:rsidRPr="00C64428">
              <w:rPr>
                <w:color w:val="010000"/>
                <w:szCs w:val="19"/>
              </w:rPr>
              <w:t>Üye</w:t>
            </w:r>
          </w:p>
          <w:p w:rsidR="00C64428" w:rsidRPr="00C64428" w:rsidRDefault="00C64428" w:rsidP="00C64428">
            <w:pPr>
              <w:spacing w:before="240" w:after="240"/>
              <w:jc w:val="center"/>
              <w:rPr>
                <w:color w:val="010000"/>
                <w:szCs w:val="19"/>
                <w:lang w:eastAsia="en-US"/>
              </w:rPr>
            </w:pPr>
            <w:r w:rsidRPr="00C64428">
              <w:rPr>
                <w:color w:val="010000"/>
                <w:szCs w:val="19"/>
              </w:rPr>
              <w:t>Engin YILDIRIM</w:t>
            </w:r>
            <w:r w:rsidRPr="00C64428">
              <w:rPr>
                <w:color w:val="010000"/>
                <w:szCs w:val="19"/>
              </w:rPr>
              <w:t xml:space="preserve"> </w:t>
            </w:r>
          </w:p>
        </w:tc>
      </w:tr>
      <w:tr w:rsidR="00C64428" w:rsidRPr="00C64428" w:rsidTr="00C64428">
        <w:trPr>
          <w:jc w:val="center"/>
        </w:trPr>
        <w:tc>
          <w:tcPr>
            <w:tcW w:w="1689" w:type="pct"/>
            <w:hideMark/>
          </w:tcPr>
          <w:p w:rsidR="00C64428" w:rsidRPr="00C64428" w:rsidRDefault="00C64428" w:rsidP="00C64428">
            <w:pPr>
              <w:spacing w:before="240" w:after="240"/>
              <w:jc w:val="center"/>
              <w:rPr>
                <w:rFonts w:eastAsia="Calibri"/>
                <w:color w:val="010000"/>
                <w:szCs w:val="19"/>
                <w:lang w:eastAsia="en-US"/>
              </w:rPr>
            </w:pPr>
            <w:r w:rsidRPr="00C64428">
              <w:rPr>
                <w:color w:val="010000"/>
                <w:szCs w:val="19"/>
              </w:rPr>
              <w:t>Üye</w:t>
            </w:r>
          </w:p>
          <w:p w:rsidR="00C64428" w:rsidRPr="00C64428" w:rsidRDefault="00C64428" w:rsidP="00C64428">
            <w:pPr>
              <w:spacing w:before="240" w:after="240"/>
              <w:jc w:val="center"/>
              <w:rPr>
                <w:color w:val="010000"/>
                <w:szCs w:val="19"/>
                <w:lang w:eastAsia="en-US"/>
              </w:rPr>
            </w:pPr>
            <w:r w:rsidRPr="00C64428">
              <w:rPr>
                <w:color w:val="010000"/>
                <w:szCs w:val="19"/>
              </w:rPr>
              <w:t>Nuri NECİPOĞLU</w:t>
            </w:r>
          </w:p>
        </w:tc>
        <w:tc>
          <w:tcPr>
            <w:tcW w:w="1667" w:type="pct"/>
            <w:hideMark/>
          </w:tcPr>
          <w:p w:rsidR="00C64428" w:rsidRPr="00C64428" w:rsidRDefault="00C64428" w:rsidP="00C64428">
            <w:pPr>
              <w:spacing w:before="240" w:after="240"/>
              <w:jc w:val="center"/>
              <w:rPr>
                <w:rFonts w:eastAsia="Calibri"/>
                <w:color w:val="010000"/>
                <w:szCs w:val="19"/>
                <w:lang w:eastAsia="en-US"/>
              </w:rPr>
            </w:pPr>
            <w:r w:rsidRPr="00C64428">
              <w:rPr>
                <w:color w:val="010000"/>
                <w:szCs w:val="19"/>
              </w:rPr>
              <w:t>Üye</w:t>
            </w:r>
          </w:p>
          <w:p w:rsidR="00C64428" w:rsidRPr="00C64428" w:rsidRDefault="00C64428" w:rsidP="00C64428">
            <w:pPr>
              <w:spacing w:before="240" w:after="240"/>
              <w:jc w:val="center"/>
              <w:rPr>
                <w:color w:val="010000"/>
                <w:szCs w:val="19"/>
                <w:lang w:eastAsia="en-US"/>
              </w:rPr>
            </w:pPr>
            <w:proofErr w:type="spellStart"/>
            <w:r w:rsidRPr="00C64428">
              <w:rPr>
                <w:color w:val="010000"/>
                <w:szCs w:val="19"/>
              </w:rPr>
              <w:t>Hicabi</w:t>
            </w:r>
            <w:proofErr w:type="spellEnd"/>
            <w:r w:rsidRPr="00C64428">
              <w:rPr>
                <w:color w:val="010000"/>
                <w:szCs w:val="19"/>
              </w:rPr>
              <w:t xml:space="preserve"> DURSUN</w:t>
            </w:r>
          </w:p>
        </w:tc>
        <w:tc>
          <w:tcPr>
            <w:tcW w:w="1644" w:type="pct"/>
            <w:hideMark/>
          </w:tcPr>
          <w:p w:rsidR="00C64428" w:rsidRPr="00C64428" w:rsidRDefault="00C64428" w:rsidP="00C64428">
            <w:pPr>
              <w:spacing w:before="240" w:after="240"/>
              <w:jc w:val="center"/>
              <w:rPr>
                <w:rFonts w:eastAsia="Calibri"/>
                <w:color w:val="010000"/>
                <w:szCs w:val="19"/>
                <w:lang w:eastAsia="en-US"/>
              </w:rPr>
            </w:pPr>
            <w:r w:rsidRPr="00C64428">
              <w:rPr>
                <w:color w:val="010000"/>
                <w:szCs w:val="19"/>
              </w:rPr>
              <w:t>Üye</w:t>
            </w:r>
          </w:p>
          <w:p w:rsidR="00C64428" w:rsidRPr="00C64428" w:rsidRDefault="00C64428" w:rsidP="00C64428">
            <w:pPr>
              <w:spacing w:before="240" w:after="240"/>
              <w:jc w:val="center"/>
              <w:rPr>
                <w:color w:val="010000"/>
                <w:szCs w:val="19"/>
                <w:lang w:eastAsia="en-US"/>
              </w:rPr>
            </w:pPr>
            <w:r w:rsidRPr="00C64428">
              <w:rPr>
                <w:color w:val="010000"/>
                <w:szCs w:val="19"/>
              </w:rPr>
              <w:t>Celal Mümtaz AKINCI</w:t>
            </w:r>
          </w:p>
        </w:tc>
      </w:tr>
      <w:tr w:rsidR="00C64428" w:rsidRPr="00C64428" w:rsidTr="00C64428">
        <w:trPr>
          <w:jc w:val="center"/>
        </w:trPr>
        <w:tc>
          <w:tcPr>
            <w:tcW w:w="1689" w:type="pct"/>
            <w:hideMark/>
          </w:tcPr>
          <w:p w:rsidR="00C64428" w:rsidRPr="00C64428" w:rsidRDefault="00C64428" w:rsidP="00C64428">
            <w:pPr>
              <w:spacing w:before="240" w:after="240"/>
              <w:jc w:val="center"/>
              <w:rPr>
                <w:rFonts w:eastAsia="Calibri"/>
                <w:color w:val="010000"/>
                <w:szCs w:val="19"/>
                <w:lang w:eastAsia="en-US"/>
              </w:rPr>
            </w:pPr>
            <w:r w:rsidRPr="00C64428">
              <w:rPr>
                <w:color w:val="010000"/>
                <w:szCs w:val="19"/>
              </w:rPr>
              <w:t>Üye</w:t>
            </w:r>
          </w:p>
          <w:p w:rsidR="00C64428" w:rsidRPr="00C64428" w:rsidRDefault="00C64428" w:rsidP="00C64428">
            <w:pPr>
              <w:spacing w:before="240" w:after="240"/>
              <w:jc w:val="center"/>
              <w:rPr>
                <w:color w:val="010000"/>
                <w:szCs w:val="19"/>
                <w:lang w:eastAsia="en-US"/>
              </w:rPr>
            </w:pPr>
            <w:r w:rsidRPr="00C64428">
              <w:rPr>
                <w:color w:val="010000"/>
                <w:szCs w:val="19"/>
              </w:rPr>
              <w:t>Erdal TERCAN</w:t>
            </w:r>
          </w:p>
        </w:tc>
        <w:tc>
          <w:tcPr>
            <w:tcW w:w="1667" w:type="pct"/>
            <w:hideMark/>
          </w:tcPr>
          <w:p w:rsidR="00C64428" w:rsidRPr="00C64428" w:rsidRDefault="00C64428" w:rsidP="00C64428">
            <w:pPr>
              <w:spacing w:before="240" w:after="240"/>
              <w:jc w:val="center"/>
              <w:rPr>
                <w:rFonts w:eastAsia="Calibri"/>
                <w:color w:val="010000"/>
                <w:szCs w:val="19"/>
                <w:lang w:eastAsia="en-US"/>
              </w:rPr>
            </w:pPr>
            <w:r w:rsidRPr="00C64428">
              <w:rPr>
                <w:color w:val="010000"/>
                <w:szCs w:val="19"/>
              </w:rPr>
              <w:t>Üye</w:t>
            </w:r>
          </w:p>
          <w:p w:rsidR="00C64428" w:rsidRPr="00C64428" w:rsidRDefault="00C64428" w:rsidP="00C64428">
            <w:pPr>
              <w:spacing w:before="240" w:after="240"/>
              <w:jc w:val="center"/>
              <w:rPr>
                <w:color w:val="010000"/>
                <w:szCs w:val="19"/>
                <w:lang w:eastAsia="en-US"/>
              </w:rPr>
            </w:pPr>
            <w:r w:rsidRPr="00C64428">
              <w:rPr>
                <w:color w:val="010000"/>
                <w:szCs w:val="19"/>
              </w:rPr>
              <w:t>Muammer TOPAL</w:t>
            </w:r>
          </w:p>
        </w:tc>
        <w:tc>
          <w:tcPr>
            <w:tcW w:w="1644" w:type="pct"/>
            <w:hideMark/>
          </w:tcPr>
          <w:p w:rsidR="00C64428" w:rsidRPr="00C64428" w:rsidRDefault="00C64428" w:rsidP="00C64428">
            <w:pPr>
              <w:spacing w:before="240" w:after="240"/>
              <w:jc w:val="center"/>
              <w:rPr>
                <w:rFonts w:eastAsia="Calibri"/>
                <w:color w:val="010000"/>
                <w:szCs w:val="19"/>
                <w:lang w:eastAsia="en-US"/>
              </w:rPr>
            </w:pPr>
            <w:r w:rsidRPr="00C64428">
              <w:rPr>
                <w:color w:val="010000"/>
                <w:szCs w:val="19"/>
              </w:rPr>
              <w:t>Üye</w:t>
            </w:r>
          </w:p>
          <w:p w:rsidR="00C64428" w:rsidRPr="00C64428" w:rsidRDefault="00C64428" w:rsidP="00C64428">
            <w:pPr>
              <w:spacing w:before="240" w:after="240"/>
              <w:jc w:val="center"/>
              <w:rPr>
                <w:color w:val="010000"/>
                <w:szCs w:val="19"/>
                <w:lang w:eastAsia="en-US"/>
              </w:rPr>
            </w:pPr>
            <w:r w:rsidRPr="00C64428">
              <w:rPr>
                <w:color w:val="010000"/>
                <w:szCs w:val="19"/>
              </w:rPr>
              <w:t>M. Emin KUZ</w:t>
            </w:r>
          </w:p>
        </w:tc>
      </w:tr>
      <w:tr w:rsidR="00C64428" w:rsidRPr="00C64428" w:rsidTr="00C64428">
        <w:trPr>
          <w:jc w:val="center"/>
        </w:trPr>
        <w:tc>
          <w:tcPr>
            <w:tcW w:w="1689" w:type="pct"/>
            <w:hideMark/>
          </w:tcPr>
          <w:p w:rsidR="00C64428" w:rsidRPr="00C64428" w:rsidRDefault="00C64428" w:rsidP="00C64428">
            <w:pPr>
              <w:spacing w:before="240" w:after="240"/>
              <w:jc w:val="center"/>
              <w:rPr>
                <w:rFonts w:eastAsia="Calibri"/>
                <w:color w:val="010000"/>
                <w:szCs w:val="19"/>
                <w:lang w:eastAsia="en-US"/>
              </w:rPr>
            </w:pPr>
            <w:r w:rsidRPr="00C64428">
              <w:rPr>
                <w:color w:val="010000"/>
                <w:szCs w:val="19"/>
              </w:rPr>
              <w:t>Üye</w:t>
            </w:r>
          </w:p>
          <w:p w:rsidR="00C64428" w:rsidRPr="00C64428" w:rsidRDefault="00C64428" w:rsidP="00C64428">
            <w:pPr>
              <w:spacing w:before="240" w:after="240"/>
              <w:jc w:val="center"/>
              <w:rPr>
                <w:color w:val="010000"/>
                <w:szCs w:val="19"/>
                <w:lang w:eastAsia="en-US"/>
              </w:rPr>
            </w:pPr>
            <w:r w:rsidRPr="00C64428">
              <w:rPr>
                <w:color w:val="010000"/>
                <w:szCs w:val="19"/>
              </w:rPr>
              <w:t>Hasan Tahsin GÖKCAN</w:t>
            </w:r>
          </w:p>
        </w:tc>
        <w:tc>
          <w:tcPr>
            <w:tcW w:w="1667" w:type="pct"/>
            <w:hideMark/>
          </w:tcPr>
          <w:p w:rsidR="00C64428" w:rsidRPr="00C64428" w:rsidRDefault="00C64428" w:rsidP="00C64428">
            <w:pPr>
              <w:spacing w:before="240" w:after="240"/>
              <w:jc w:val="center"/>
              <w:rPr>
                <w:rFonts w:eastAsia="Calibri"/>
                <w:color w:val="010000"/>
                <w:szCs w:val="19"/>
                <w:lang w:eastAsia="en-US"/>
              </w:rPr>
            </w:pPr>
            <w:r w:rsidRPr="00C64428">
              <w:rPr>
                <w:color w:val="010000"/>
                <w:szCs w:val="19"/>
              </w:rPr>
              <w:t>Üye</w:t>
            </w:r>
          </w:p>
          <w:p w:rsidR="00C64428" w:rsidRPr="00C64428" w:rsidRDefault="00C64428" w:rsidP="00C64428">
            <w:pPr>
              <w:spacing w:before="240" w:after="240"/>
              <w:jc w:val="center"/>
              <w:rPr>
                <w:color w:val="010000"/>
                <w:szCs w:val="19"/>
                <w:lang w:eastAsia="en-US"/>
              </w:rPr>
            </w:pPr>
            <w:r w:rsidRPr="00C64428">
              <w:rPr>
                <w:color w:val="010000"/>
                <w:szCs w:val="19"/>
              </w:rPr>
              <w:t>Kadir ÖZKAYA</w:t>
            </w:r>
          </w:p>
        </w:tc>
        <w:tc>
          <w:tcPr>
            <w:tcW w:w="1644" w:type="pct"/>
            <w:hideMark/>
          </w:tcPr>
          <w:p w:rsidR="00C64428" w:rsidRPr="00C64428" w:rsidRDefault="00C64428" w:rsidP="00C64428">
            <w:pPr>
              <w:spacing w:before="240" w:after="240"/>
              <w:jc w:val="center"/>
              <w:rPr>
                <w:rFonts w:eastAsia="Calibri"/>
                <w:color w:val="010000"/>
                <w:szCs w:val="19"/>
                <w:lang w:eastAsia="en-US"/>
              </w:rPr>
            </w:pPr>
            <w:r w:rsidRPr="00C64428">
              <w:rPr>
                <w:color w:val="010000"/>
                <w:szCs w:val="19"/>
              </w:rPr>
              <w:t>Üye</w:t>
            </w:r>
          </w:p>
          <w:p w:rsidR="00C64428" w:rsidRPr="00C64428" w:rsidRDefault="00C64428" w:rsidP="00C64428">
            <w:pPr>
              <w:spacing w:before="240" w:after="240"/>
              <w:jc w:val="center"/>
              <w:rPr>
                <w:color w:val="010000"/>
                <w:szCs w:val="19"/>
                <w:lang w:eastAsia="en-US"/>
              </w:rPr>
            </w:pPr>
            <w:r w:rsidRPr="00C64428">
              <w:rPr>
                <w:color w:val="010000"/>
                <w:szCs w:val="19"/>
              </w:rPr>
              <w:t>Rıdvan GÜLEÇ</w:t>
            </w:r>
          </w:p>
        </w:tc>
      </w:tr>
    </w:tbl>
    <w:p w:rsidR="00C64428" w:rsidRPr="00C64428" w:rsidRDefault="00C64428" w:rsidP="00C64428">
      <w:pPr>
        <w:spacing w:after="200"/>
        <w:ind w:right="283" w:firstLine="709"/>
        <w:jc w:val="both"/>
        <w:rPr>
          <w:color w:val="010000"/>
          <w:szCs w:val="19"/>
        </w:rPr>
      </w:pPr>
    </w:p>
    <w:sectPr w:rsidR="00C64428" w:rsidRPr="00C64428" w:rsidSect="00C64428">
      <w:headerReference w:type="default" r:id="rId7"/>
      <w:footerReference w:type="even" r:id="rId8"/>
      <w:footerReference w:type="default" r:id="rId9"/>
      <w:pgSz w:w="11906" w:h="16838"/>
      <w:pgMar w:top="1417" w:right="992" w:bottom="1417" w:left="1134" w:header="709" w:footer="709" w:gutter="0"/>
      <w:cols w:space="708"/>
      <w:formProt w:val="0"/>
      <w:titlePg/>
      <w:docGrid w:linePitch="360" w:charSpace="-2049"/>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rsidR="000C52D2" w:rsidRDefault="000C52D2" w:rsidP="00C64428">
      <w:r>
        <w:separator/>
      </w:r>
    </w:p>
  </w:endnote>
  <w:endnote w:type="continuationSeparator" w:id="0">
    <w:p w:rsidR="000C52D2" w:rsidRDefault="000C52D2" w:rsidP="00C64428">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Times New Roman">
    <w:panose1 w:val="02020603050405020304"/>
    <w:charset w:val="A2"/>
    <w:family w:val="roman"/>
    <w:pitch w:val="variable"/>
    <w:sig w:usb0="E0002EFF" w:usb1="C000785B" w:usb2="00000009" w:usb3="00000000" w:csb0="000001FF" w:csb1="00000000"/>
  </w:font>
  <w:font w:name="Calibri">
    <w:panose1 w:val="020F0502020204030204"/>
    <w:charset w:val="A2"/>
    <w:family w:val="swiss"/>
    <w:pitch w:val="variable"/>
    <w:sig w:usb0="E4002EFF" w:usb1="C000247B" w:usb2="00000009" w:usb3="00000000" w:csb0="000001FF" w:csb1="00000000"/>
  </w:font>
  <w:font w:name="Arial">
    <w:panose1 w:val="020B0604020202020204"/>
    <w:charset w:val="A2"/>
    <w:family w:val="swiss"/>
    <w:pitch w:val="variable"/>
    <w:sig w:usb0="E0002EFF" w:usb1="C000785B" w:usb2="00000009" w:usb3="00000000" w:csb0="000001FF" w:csb1="00000000"/>
  </w:font>
  <w:font w:name="Calibri Light">
    <w:panose1 w:val="020F0302020204030204"/>
    <w:charset w:val="A2"/>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C64428" w:rsidRDefault="00C64428" w:rsidP="003411B3">
    <w:pPr>
      <w:pStyle w:val="AltBilgi"/>
      <w:framePr w:wrap="around" w:vAnchor="text" w:hAnchor="margin" w:xAlign="right" w:y="1"/>
      <w:rPr>
        <w:rStyle w:val="SayfaNumaras"/>
      </w:rPr>
    </w:pPr>
    <w:r>
      <w:rPr>
        <w:rStyle w:val="SayfaNumaras"/>
      </w:rPr>
      <w:fldChar w:fldCharType="begin"/>
    </w:r>
    <w:r>
      <w:rPr>
        <w:rStyle w:val="SayfaNumaras"/>
      </w:rPr>
      <w:instrText xml:space="preserve"> PAGE </w:instrText>
    </w:r>
    <w:r>
      <w:rPr>
        <w:rStyle w:val="SayfaNumaras"/>
      </w:rPr>
      <w:fldChar w:fldCharType="end"/>
    </w:r>
  </w:p>
  <w:p w:rsidR="00C64428" w:rsidRDefault="00C64428" w:rsidP="00C64428">
    <w:pPr>
      <w:pStyle w:val="AltBilgi"/>
      <w:ind w:right="360"/>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C64428" w:rsidRPr="00C64428" w:rsidRDefault="00C64428" w:rsidP="003411B3">
    <w:pPr>
      <w:pStyle w:val="AltBilgi"/>
      <w:framePr w:wrap="around" w:vAnchor="text" w:hAnchor="margin" w:xAlign="right" w:y="1"/>
      <w:rPr>
        <w:rStyle w:val="SayfaNumaras"/>
      </w:rPr>
    </w:pPr>
    <w:r w:rsidRPr="00C64428">
      <w:rPr>
        <w:rStyle w:val="SayfaNumaras"/>
      </w:rPr>
      <w:fldChar w:fldCharType="begin"/>
    </w:r>
    <w:r w:rsidRPr="00C64428">
      <w:rPr>
        <w:rStyle w:val="SayfaNumaras"/>
      </w:rPr>
      <w:instrText xml:space="preserve"> PAGE </w:instrText>
    </w:r>
    <w:r w:rsidRPr="00C64428">
      <w:rPr>
        <w:rStyle w:val="SayfaNumaras"/>
      </w:rPr>
      <w:fldChar w:fldCharType="separate"/>
    </w:r>
    <w:r w:rsidRPr="00C64428">
      <w:rPr>
        <w:rStyle w:val="SayfaNumaras"/>
        <w:noProof/>
      </w:rPr>
      <w:t>1</w:t>
    </w:r>
    <w:r w:rsidRPr="00C64428">
      <w:rPr>
        <w:rStyle w:val="SayfaNumaras"/>
      </w:rPr>
      <w:fldChar w:fldCharType="end"/>
    </w:r>
  </w:p>
  <w:p w:rsidR="00BF320F" w:rsidRDefault="000C52D2" w:rsidP="00C64428">
    <w:pPr>
      <w:pStyle w:val="a"/>
      <w:ind w:right="360"/>
      <w:jc w:val="center"/>
    </w:pPr>
  </w:p>
  <w:p w:rsidR="00BF320F" w:rsidRDefault="000C52D2">
    <w:pPr>
      <w:pStyle w:val="a"/>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rsidR="000C52D2" w:rsidRDefault="000C52D2" w:rsidP="00C64428">
      <w:r>
        <w:separator/>
      </w:r>
    </w:p>
  </w:footnote>
  <w:footnote w:type="continuationSeparator" w:id="0">
    <w:p w:rsidR="000C52D2" w:rsidRDefault="000C52D2" w:rsidP="00C64428">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C64428" w:rsidRPr="00C64428" w:rsidRDefault="00C64428" w:rsidP="00C64428">
    <w:pPr>
      <w:pStyle w:val="stBilgi"/>
      <w:rPr>
        <w:b/>
      </w:rPr>
    </w:pPr>
    <w:r w:rsidRPr="00C64428">
      <w:rPr>
        <w:b/>
      </w:rPr>
      <w:t>Esas Sayısı:2014/37 (Siyasi Parti Mali Denetimi)</w:t>
    </w:r>
  </w:p>
  <w:p w:rsidR="00C64428" w:rsidRDefault="00C64428" w:rsidP="00C64428">
    <w:pPr>
      <w:pStyle w:val="stBilgi"/>
      <w:rPr>
        <w:b/>
      </w:rPr>
    </w:pPr>
    <w:r>
      <w:rPr>
        <w:b/>
      </w:rPr>
      <w:t>Karar Sayısı:2015/63</w:t>
    </w:r>
  </w:p>
  <w:p w:rsidR="00BF320F" w:rsidRPr="00C64428" w:rsidRDefault="000C52D2" w:rsidP="00C64428">
    <w:pPr>
      <w:pStyle w:val="stBilgi"/>
      <w:rPr>
        <w:b/>
      </w:rP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40665760"/>
    <w:multiLevelType w:val="hybridMultilevel"/>
    <w:tmpl w:val="C65E8EDA"/>
    <w:lvl w:ilvl="0" w:tplc="97842CD8">
      <w:start w:val="1"/>
      <w:numFmt w:val="decimal"/>
      <w:lvlText w:val="%1-"/>
      <w:lvlJc w:val="left"/>
      <w:pPr>
        <w:ind w:left="1494" w:hanging="360"/>
      </w:pPr>
      <w:rPr>
        <w:rFonts w:hint="default"/>
        <w:b/>
      </w:rPr>
    </w:lvl>
    <w:lvl w:ilvl="1" w:tplc="041F0019" w:tentative="1">
      <w:start w:val="1"/>
      <w:numFmt w:val="lowerLetter"/>
      <w:lvlText w:val="%2."/>
      <w:lvlJc w:val="left"/>
      <w:pPr>
        <w:ind w:left="2214" w:hanging="360"/>
      </w:pPr>
    </w:lvl>
    <w:lvl w:ilvl="2" w:tplc="041F001B" w:tentative="1">
      <w:start w:val="1"/>
      <w:numFmt w:val="lowerRoman"/>
      <w:lvlText w:val="%3."/>
      <w:lvlJc w:val="right"/>
      <w:pPr>
        <w:ind w:left="2934" w:hanging="180"/>
      </w:pPr>
    </w:lvl>
    <w:lvl w:ilvl="3" w:tplc="041F000F" w:tentative="1">
      <w:start w:val="1"/>
      <w:numFmt w:val="decimal"/>
      <w:lvlText w:val="%4."/>
      <w:lvlJc w:val="left"/>
      <w:pPr>
        <w:ind w:left="3654" w:hanging="360"/>
      </w:pPr>
    </w:lvl>
    <w:lvl w:ilvl="4" w:tplc="041F0019" w:tentative="1">
      <w:start w:val="1"/>
      <w:numFmt w:val="lowerLetter"/>
      <w:lvlText w:val="%5."/>
      <w:lvlJc w:val="left"/>
      <w:pPr>
        <w:ind w:left="4374" w:hanging="360"/>
      </w:pPr>
    </w:lvl>
    <w:lvl w:ilvl="5" w:tplc="041F001B" w:tentative="1">
      <w:start w:val="1"/>
      <w:numFmt w:val="lowerRoman"/>
      <w:lvlText w:val="%6."/>
      <w:lvlJc w:val="right"/>
      <w:pPr>
        <w:ind w:left="5094" w:hanging="180"/>
      </w:pPr>
    </w:lvl>
    <w:lvl w:ilvl="6" w:tplc="041F000F" w:tentative="1">
      <w:start w:val="1"/>
      <w:numFmt w:val="decimal"/>
      <w:lvlText w:val="%7."/>
      <w:lvlJc w:val="left"/>
      <w:pPr>
        <w:ind w:left="5814" w:hanging="360"/>
      </w:pPr>
    </w:lvl>
    <w:lvl w:ilvl="7" w:tplc="041F0019" w:tentative="1">
      <w:start w:val="1"/>
      <w:numFmt w:val="lowerLetter"/>
      <w:lvlText w:val="%8."/>
      <w:lvlJc w:val="left"/>
      <w:pPr>
        <w:ind w:left="6534" w:hanging="360"/>
      </w:pPr>
    </w:lvl>
    <w:lvl w:ilvl="8" w:tplc="041F001B" w:tentative="1">
      <w:start w:val="1"/>
      <w:numFmt w:val="lowerRoman"/>
      <w:lvlText w:val="%9."/>
      <w:lvlJc w:val="right"/>
      <w:pPr>
        <w:ind w:left="7254" w:hanging="180"/>
      </w:pPr>
    </w:lvl>
  </w:abstractNum>
  <w:abstractNum w:abstractNumId="1" w15:restartNumberingAfterBreak="0">
    <w:nsid w:val="670629E9"/>
    <w:multiLevelType w:val="hybridMultilevel"/>
    <w:tmpl w:val="ED8A54B4"/>
    <w:lvl w:ilvl="0" w:tplc="DBC4A066">
      <w:start w:val="1"/>
      <w:numFmt w:val="decimal"/>
      <w:lvlText w:val="%1-"/>
      <w:lvlJc w:val="left"/>
      <w:pPr>
        <w:ind w:left="1494" w:hanging="360"/>
      </w:pPr>
      <w:rPr>
        <w:rFonts w:hint="default"/>
      </w:rPr>
    </w:lvl>
    <w:lvl w:ilvl="1" w:tplc="041F0019" w:tentative="1">
      <w:start w:val="1"/>
      <w:numFmt w:val="lowerLetter"/>
      <w:lvlText w:val="%2."/>
      <w:lvlJc w:val="left"/>
      <w:pPr>
        <w:ind w:left="2214" w:hanging="360"/>
      </w:pPr>
    </w:lvl>
    <w:lvl w:ilvl="2" w:tplc="041F001B" w:tentative="1">
      <w:start w:val="1"/>
      <w:numFmt w:val="lowerRoman"/>
      <w:lvlText w:val="%3."/>
      <w:lvlJc w:val="right"/>
      <w:pPr>
        <w:ind w:left="2934" w:hanging="180"/>
      </w:pPr>
    </w:lvl>
    <w:lvl w:ilvl="3" w:tplc="041F000F" w:tentative="1">
      <w:start w:val="1"/>
      <w:numFmt w:val="decimal"/>
      <w:lvlText w:val="%4."/>
      <w:lvlJc w:val="left"/>
      <w:pPr>
        <w:ind w:left="3654" w:hanging="360"/>
      </w:pPr>
    </w:lvl>
    <w:lvl w:ilvl="4" w:tplc="041F0019" w:tentative="1">
      <w:start w:val="1"/>
      <w:numFmt w:val="lowerLetter"/>
      <w:lvlText w:val="%5."/>
      <w:lvlJc w:val="left"/>
      <w:pPr>
        <w:ind w:left="4374" w:hanging="360"/>
      </w:pPr>
    </w:lvl>
    <w:lvl w:ilvl="5" w:tplc="041F001B" w:tentative="1">
      <w:start w:val="1"/>
      <w:numFmt w:val="lowerRoman"/>
      <w:lvlText w:val="%6."/>
      <w:lvlJc w:val="right"/>
      <w:pPr>
        <w:ind w:left="5094" w:hanging="180"/>
      </w:pPr>
    </w:lvl>
    <w:lvl w:ilvl="6" w:tplc="041F000F" w:tentative="1">
      <w:start w:val="1"/>
      <w:numFmt w:val="decimal"/>
      <w:lvlText w:val="%7."/>
      <w:lvlJc w:val="left"/>
      <w:pPr>
        <w:ind w:left="5814" w:hanging="360"/>
      </w:pPr>
    </w:lvl>
    <w:lvl w:ilvl="7" w:tplc="041F0019" w:tentative="1">
      <w:start w:val="1"/>
      <w:numFmt w:val="lowerLetter"/>
      <w:lvlText w:val="%8."/>
      <w:lvlJc w:val="left"/>
      <w:pPr>
        <w:ind w:left="6534" w:hanging="360"/>
      </w:pPr>
    </w:lvl>
    <w:lvl w:ilvl="8" w:tplc="041F001B" w:tentative="1">
      <w:start w:val="1"/>
      <w:numFmt w:val="lowerRoman"/>
      <w:lvlText w:val="%9."/>
      <w:lvlJc w:val="right"/>
      <w:pPr>
        <w:ind w:left="7254" w:hanging="180"/>
      </w:pPr>
    </w:lvl>
  </w:abstractNum>
  <w:num w:numId="1">
    <w:abstractNumId w:val="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
    <w:abstractNumId w:val="1"/>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proofState w:spelling="clean" w:grammar="clean"/>
  <w:defaultTabStop w:val="708"/>
  <w:hyphenationZone w:val="425"/>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C64428"/>
    <w:rsid w:val="000C52D2"/>
    <w:rsid w:val="00C64428"/>
    <w:rsid w:val="00D12EB3"/>
  </w:rsids>
  <m:mathPr>
    <m:mathFont m:val="Cambria Math"/>
    <m:brkBin m:val="before"/>
    <m:brkBinSub m:val="--"/>
    <m:smallFrac m:val="0"/>
    <m:dispDef/>
    <m:lMargin m:val="0"/>
    <m:rMargin m:val="0"/>
    <m:defJc m:val="centerGroup"/>
    <m:wrapIndent m:val="1440"/>
    <m:intLim m:val="subSup"/>
    <m:naryLim m:val="undOvr"/>
  </m:mathPr>
  <w:themeFontLang w:val="tr-TR" w:bidi="ar-SA"/>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chartTrackingRefBased/>
  <w15:docId w15:val="{6DD73A58-F665-4C41-AE68-02951CBEFC16}"/>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HAnsi" w:hAnsiTheme="minorHAnsi" w:cstheme="minorBidi"/>
        <w:sz w:val="22"/>
        <w:szCs w:val="22"/>
        <w:lang w:val="tr-TR" w:eastAsia="en-US" w:bidi="ar-SA"/>
      </w:rPr>
    </w:rPrDefault>
    <w:pPrDefault>
      <w:pPr>
        <w:spacing w:after="160" w:line="259" w:lineRule="auto"/>
      </w:pPr>
    </w:pPrDefault>
  </w:docDefaults>
  <w:latentStyles w:defLockedState="0" w:defUIPriority="99" w:defSemiHidden="0" w:defUnhideWhenUsed="0" w:defQFormat="0" w:count="375">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Normal">
    <w:name w:val="Normal"/>
    <w:qFormat/>
    <w:rsid w:val="00C64428"/>
    <w:pPr>
      <w:spacing w:after="0" w:line="240" w:lineRule="auto"/>
    </w:pPr>
    <w:rPr>
      <w:rFonts w:ascii="Times New Roman" w:eastAsia="Times New Roman" w:hAnsi="Times New Roman" w:cs="Times New Roman"/>
      <w:sz w:val="24"/>
      <w:szCs w:val="24"/>
      <w:lang w:eastAsia="tr-TR"/>
    </w:rPr>
  </w:style>
  <w:style w:type="character" w:default="1" w:styleId="VarsaylanParagrafYazTipi">
    <w:name w:val="Default Paragraph Font"/>
    <w:uiPriority w:val="1"/>
    <w:semiHidden/>
    <w:unhideWhenUsed/>
  </w:style>
  <w:style w:type="table" w:default="1" w:styleId="NormalTablo">
    <w:name w:val="Normal Table"/>
    <w:uiPriority w:val="99"/>
    <w:semiHidden/>
    <w:unhideWhenUsed/>
    <w:tblPr>
      <w:tblInd w:w="0" w:type="dxa"/>
      <w:tblCellMar>
        <w:top w:w="0" w:type="dxa"/>
        <w:left w:w="108" w:type="dxa"/>
        <w:bottom w:w="0" w:type="dxa"/>
        <w:right w:w="108" w:type="dxa"/>
      </w:tblCellMar>
    </w:tblPr>
  </w:style>
  <w:style w:type="numbering" w:default="1" w:styleId="ListeYok">
    <w:name w:val="No List"/>
    <w:uiPriority w:val="99"/>
    <w:semiHidden/>
    <w:unhideWhenUsed/>
  </w:style>
  <w:style w:type="paragraph" w:styleId="a">
    <w:basedOn w:val="Normal"/>
    <w:next w:val="AltBilgi"/>
    <w:link w:val="AltbilgiChar"/>
    <w:uiPriority w:val="99"/>
    <w:rsid w:val="00C64428"/>
    <w:pPr>
      <w:tabs>
        <w:tab w:val="center" w:pos="4536"/>
        <w:tab w:val="right" w:pos="9072"/>
      </w:tabs>
    </w:pPr>
  </w:style>
  <w:style w:type="character" w:customStyle="1" w:styleId="AltbilgiChar">
    <w:name w:val="Altbilgi Char"/>
    <w:link w:val="a"/>
    <w:uiPriority w:val="99"/>
    <w:rsid w:val="00C64428"/>
    <w:rPr>
      <w:rFonts w:ascii="Times New Roman" w:eastAsia="Times New Roman" w:hAnsi="Times New Roman" w:cs="Times New Roman"/>
      <w:sz w:val="24"/>
      <w:szCs w:val="24"/>
      <w:lang w:eastAsia="tr-TR"/>
    </w:rPr>
  </w:style>
  <w:style w:type="paragraph" w:styleId="AltBilgi">
    <w:name w:val="footer"/>
    <w:basedOn w:val="Normal"/>
    <w:link w:val="AltBilgiChar0"/>
    <w:uiPriority w:val="99"/>
    <w:unhideWhenUsed/>
    <w:rsid w:val="00C64428"/>
    <w:pPr>
      <w:tabs>
        <w:tab w:val="center" w:pos="4536"/>
        <w:tab w:val="right" w:pos="9072"/>
      </w:tabs>
    </w:pPr>
  </w:style>
  <w:style w:type="character" w:customStyle="1" w:styleId="AltBilgiChar0">
    <w:name w:val="Alt Bilgi Char"/>
    <w:basedOn w:val="VarsaylanParagrafYazTipi"/>
    <w:link w:val="AltBilgi"/>
    <w:uiPriority w:val="99"/>
    <w:rsid w:val="00C64428"/>
    <w:rPr>
      <w:rFonts w:ascii="Times New Roman" w:eastAsia="Times New Roman" w:hAnsi="Times New Roman" w:cs="Times New Roman"/>
      <w:sz w:val="24"/>
      <w:szCs w:val="24"/>
      <w:lang w:eastAsia="tr-TR"/>
    </w:rPr>
  </w:style>
  <w:style w:type="paragraph" w:styleId="stBilgi">
    <w:name w:val="header"/>
    <w:basedOn w:val="Normal"/>
    <w:link w:val="stBilgiChar"/>
    <w:uiPriority w:val="99"/>
    <w:unhideWhenUsed/>
    <w:rsid w:val="00C64428"/>
    <w:pPr>
      <w:tabs>
        <w:tab w:val="center" w:pos="4536"/>
        <w:tab w:val="right" w:pos="9072"/>
      </w:tabs>
    </w:pPr>
  </w:style>
  <w:style w:type="character" w:customStyle="1" w:styleId="stBilgiChar">
    <w:name w:val="Üst Bilgi Char"/>
    <w:basedOn w:val="VarsaylanParagrafYazTipi"/>
    <w:link w:val="stBilgi"/>
    <w:uiPriority w:val="99"/>
    <w:rsid w:val="00C64428"/>
    <w:rPr>
      <w:rFonts w:ascii="Times New Roman" w:eastAsia="Times New Roman" w:hAnsi="Times New Roman" w:cs="Times New Roman"/>
      <w:sz w:val="24"/>
      <w:szCs w:val="24"/>
      <w:lang w:eastAsia="tr-TR"/>
    </w:rPr>
  </w:style>
  <w:style w:type="character" w:styleId="SayfaNumaras">
    <w:name w:val="page number"/>
    <w:basedOn w:val="VarsaylanParagrafYazTipi"/>
    <w:uiPriority w:val="99"/>
    <w:semiHidden/>
    <w:unhideWhenUsed/>
    <w:rsid w:val="00C64428"/>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optimizeForBrowser/>
  <w:allowPNG/>
  <w:doNotOrganizeInFolder/>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3" Type="http://schemas.openxmlformats.org/officeDocument/2006/relationships/settings" Target="settings.xml"/><Relationship Id="rId7" Type="http://schemas.openxmlformats.org/officeDocument/2006/relationships/header" Target="header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theme" Target="theme/theme1.xml"/><Relationship Id="rId5" Type="http://schemas.openxmlformats.org/officeDocument/2006/relationships/footnotes" Target="footnotes.xml"/><Relationship Id="rId10" Type="http://schemas.openxmlformats.org/officeDocument/2006/relationships/fontTable" Target="fontTable.xml"/><Relationship Id="rId4" Type="http://schemas.openxmlformats.org/officeDocument/2006/relationships/webSettings" Target="webSettings.xml"/><Relationship Id="rId9" Type="http://schemas.openxmlformats.org/officeDocument/2006/relationships/footer" Target="footer2.xml"/></Relationships>
</file>

<file path=word/theme/theme1.xml><?xml version="1.0" encoding="utf-8"?>
<a:theme xmlns:a="http://schemas.openxmlformats.org/drawingml/2006/main" name="Office Teması">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4</Pages>
  <Words>1319</Words>
  <Characters>7519</Characters>
  <Application>Microsoft Office Word</Application>
  <DocSecurity>0</DocSecurity>
  <Lines>62</Lines>
  <Paragraphs>17</Paragraphs>
  <ScaleCrop>false</ScaleCrop>
  <Company/>
  <LinksUpToDate>false</LinksUpToDate>
  <CharactersWithSpaces>8821</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Samil ESSIZ</dc:creator>
  <cp:keywords/>
  <dc:description/>
  <cp:lastModifiedBy>Samil ESSIZ</cp:lastModifiedBy>
  <cp:revision>1</cp:revision>
  <dcterms:created xsi:type="dcterms:W3CDTF">2020-06-16T18:47:00Z</dcterms:created>
  <dcterms:modified xsi:type="dcterms:W3CDTF">2020-06-16T18:47:00Z</dcterms:modified>
</cp:coreProperties>
</file>