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87FAC" w:rsidRDefault="00A87FAC" w:rsidP="00A87FAC">
      <w:pPr>
        <w:spacing w:after="200"/>
        <w:ind w:right="283"/>
        <w:jc w:val="center"/>
        <w:rPr>
          <w:b/>
          <w:bCs/>
          <w:caps/>
          <w:color w:val="010000"/>
          <w:szCs w:val="30"/>
        </w:rPr>
      </w:pPr>
      <w:r w:rsidRPr="00A87FAC">
        <w:rPr>
          <w:b/>
          <w:bCs/>
          <w:caps/>
          <w:color w:val="010000"/>
          <w:szCs w:val="30"/>
        </w:rPr>
        <w:t xml:space="preserve"> </w:t>
      </w:r>
      <w:r w:rsidRPr="00A87FAC">
        <w:rPr>
          <w:b/>
          <w:bCs/>
          <w:caps/>
          <w:color w:val="010000"/>
          <w:szCs w:val="30"/>
        </w:rPr>
        <w:t>ANAYASA MAHKEMESİ KARARI</w:t>
      </w:r>
    </w:p>
    <w:p w:rsidR="00A87FAC" w:rsidRPr="00A87FAC" w:rsidRDefault="00A87FAC" w:rsidP="00A87FAC">
      <w:pPr>
        <w:spacing w:after="200"/>
        <w:ind w:right="283" w:firstLine="709"/>
        <w:jc w:val="center"/>
        <w:rPr>
          <w:b/>
          <w:caps/>
          <w:color w:val="010000"/>
          <w:szCs w:val="30"/>
        </w:rPr>
      </w:pPr>
    </w:p>
    <w:p w:rsidR="00A87FAC" w:rsidRDefault="00A87FAC" w:rsidP="00A87FAC">
      <w:pPr>
        <w:rPr>
          <w:b/>
          <w:bCs/>
          <w:color w:val="010000"/>
          <w:szCs w:val="22"/>
        </w:rPr>
      </w:pPr>
      <w:r>
        <w:rPr>
          <w:b/>
          <w:bCs/>
          <w:color w:val="010000"/>
          <w:szCs w:val="22"/>
        </w:rPr>
        <w:t>Esas Sayısı:2014/15 (Siyasi Parti Mali Denetimi)</w:t>
      </w:r>
    </w:p>
    <w:p w:rsidR="00A87FAC" w:rsidRDefault="00A87FAC" w:rsidP="00A87FAC">
      <w:pPr>
        <w:rPr>
          <w:b/>
          <w:color w:val="010000"/>
          <w:szCs w:val="19"/>
        </w:rPr>
      </w:pPr>
      <w:r>
        <w:rPr>
          <w:b/>
          <w:color w:val="010000"/>
          <w:szCs w:val="19"/>
        </w:rPr>
        <w:t>Karar Sayısı:2015/36</w:t>
      </w:r>
    </w:p>
    <w:p w:rsidR="00A87FAC" w:rsidRDefault="00A87FAC" w:rsidP="00A87FAC">
      <w:pPr>
        <w:rPr>
          <w:b/>
          <w:color w:val="010000"/>
          <w:szCs w:val="19"/>
        </w:rPr>
      </w:pPr>
      <w:r>
        <w:rPr>
          <w:b/>
          <w:color w:val="010000"/>
          <w:szCs w:val="19"/>
        </w:rPr>
        <w:t>Karar Tarihi:1.7.2015</w:t>
      </w:r>
    </w:p>
    <w:p w:rsidR="00A87FAC" w:rsidRDefault="00A87FAC" w:rsidP="00A87FAC">
      <w:pPr>
        <w:rPr>
          <w:b/>
          <w:color w:val="010000"/>
          <w:szCs w:val="19"/>
        </w:rPr>
      </w:pPr>
      <w:r>
        <w:rPr>
          <w:b/>
          <w:color w:val="010000"/>
          <w:szCs w:val="19"/>
        </w:rPr>
        <w:t>R.G. Tarih – Sayı:06.11.2015-29524</w:t>
      </w:r>
    </w:p>
    <w:p w:rsidR="00A87FAC" w:rsidRPr="00A87FAC" w:rsidRDefault="00A87FAC" w:rsidP="00A87FAC">
      <w:pPr>
        <w:rPr>
          <w:b/>
          <w:color w:val="010000"/>
          <w:szCs w:val="19"/>
        </w:rPr>
      </w:pPr>
    </w:p>
    <w:p w:rsidR="00A87FAC" w:rsidRPr="00A87FAC" w:rsidRDefault="00A87FAC" w:rsidP="00A87FAC">
      <w:pPr>
        <w:spacing w:after="200"/>
        <w:ind w:right="283" w:firstLine="709"/>
        <w:jc w:val="both"/>
        <w:rPr>
          <w:color w:val="010000"/>
          <w:szCs w:val="22"/>
        </w:rPr>
      </w:pPr>
      <w:r w:rsidRPr="00A87FAC">
        <w:rPr>
          <w:b/>
          <w:bCs/>
          <w:color w:val="010000"/>
          <w:szCs w:val="22"/>
        </w:rPr>
        <w:t>I- MALİ DENETİMİN KONUSU</w:t>
      </w:r>
    </w:p>
    <w:p w:rsidR="00A87FAC" w:rsidRPr="00A87FAC" w:rsidRDefault="00A87FAC" w:rsidP="00A87FAC">
      <w:pPr>
        <w:spacing w:after="200"/>
        <w:ind w:right="283" w:firstLine="709"/>
        <w:jc w:val="both"/>
        <w:rPr>
          <w:color w:val="010000"/>
          <w:szCs w:val="19"/>
        </w:rPr>
      </w:pPr>
      <w:r w:rsidRPr="00A87FAC">
        <w:rPr>
          <w:color w:val="010000"/>
          <w:szCs w:val="19"/>
        </w:rPr>
        <w:t>Katılımcı Demokrasi Partisi 2013 yılı kesin hesabının incelenmesidir.</w:t>
      </w:r>
    </w:p>
    <w:p w:rsidR="00A87FAC" w:rsidRPr="00A87FAC" w:rsidRDefault="00A87FAC" w:rsidP="00A87FAC">
      <w:pPr>
        <w:spacing w:after="200"/>
        <w:ind w:right="283" w:firstLine="709"/>
        <w:jc w:val="both"/>
        <w:rPr>
          <w:b/>
          <w:bCs/>
          <w:color w:val="010000"/>
          <w:szCs w:val="22"/>
        </w:rPr>
      </w:pPr>
      <w:r w:rsidRPr="00A87FAC">
        <w:rPr>
          <w:b/>
          <w:bCs/>
          <w:color w:val="010000"/>
          <w:szCs w:val="22"/>
        </w:rPr>
        <w:t>II- İLK İNCELEME</w:t>
      </w:r>
    </w:p>
    <w:p w:rsidR="00A87FAC" w:rsidRPr="00A87FAC" w:rsidRDefault="00A87FAC" w:rsidP="00A87FAC">
      <w:pPr>
        <w:spacing w:after="200"/>
        <w:ind w:right="283" w:firstLine="709"/>
        <w:jc w:val="both"/>
        <w:rPr>
          <w:color w:val="010000"/>
          <w:szCs w:val="19"/>
        </w:rPr>
      </w:pPr>
      <w:r w:rsidRPr="00A87FAC">
        <w:rPr>
          <w:color w:val="010000"/>
          <w:szCs w:val="19"/>
        </w:rPr>
        <w:t xml:space="preserve">1. Anayasa Mahkemesi İçtüzüğü hükümleri uyarınca </w:t>
      </w:r>
      <w:proofErr w:type="spellStart"/>
      <w:r w:rsidRPr="00A87FAC">
        <w:rPr>
          <w:color w:val="010000"/>
          <w:szCs w:val="19"/>
        </w:rPr>
        <w:t>Serruh</w:t>
      </w:r>
      <w:proofErr w:type="spellEnd"/>
      <w:r w:rsidRPr="00A87FAC">
        <w:rPr>
          <w:color w:val="010000"/>
          <w:szCs w:val="19"/>
        </w:rPr>
        <w:t xml:space="preserve"> KALELİ, Alparslan ALTAN, Serdar ÖZGÜLDÜR, Osman </w:t>
      </w:r>
      <w:proofErr w:type="spellStart"/>
      <w:r w:rsidRPr="00A87FAC">
        <w:rPr>
          <w:color w:val="010000"/>
          <w:szCs w:val="19"/>
        </w:rPr>
        <w:t>Alifeyyaz</w:t>
      </w:r>
      <w:proofErr w:type="spellEnd"/>
      <w:r w:rsidRPr="00A87FAC">
        <w:rPr>
          <w:color w:val="010000"/>
          <w:szCs w:val="19"/>
        </w:rPr>
        <w:t xml:space="preserve"> PAKSÜT, Recep KÖMÜRCÜ, Burhan ÜSTÜN, Engin YILDIRIM, Nuri NECİPOĞLU, Celal Mümtaz AKINCI, </w:t>
      </w:r>
      <w:proofErr w:type="spellStart"/>
      <w:r w:rsidRPr="00A87FAC">
        <w:rPr>
          <w:color w:val="010000"/>
          <w:szCs w:val="19"/>
        </w:rPr>
        <w:t>Hicabi</w:t>
      </w:r>
      <w:proofErr w:type="spellEnd"/>
      <w:r w:rsidRPr="00A87FAC">
        <w:rPr>
          <w:color w:val="010000"/>
          <w:szCs w:val="19"/>
        </w:rPr>
        <w:t xml:space="preserve"> Dursun, Erdal TERCAN, Muammer TOPAL, Zühtü ARSLAN, M. Emin KUZ ve Hasan Tahsin </w:t>
      </w:r>
      <w:proofErr w:type="spellStart"/>
      <w:r w:rsidRPr="00A87FAC">
        <w:rPr>
          <w:color w:val="010000"/>
          <w:szCs w:val="19"/>
        </w:rPr>
        <w:t>GÖKCAN’ın</w:t>
      </w:r>
      <w:proofErr w:type="spellEnd"/>
      <w:r w:rsidRPr="00A87FAC">
        <w:rPr>
          <w:color w:val="010000"/>
          <w:szCs w:val="19"/>
        </w:rPr>
        <w:t xml:space="preserve"> katılımlarıyla 17.12.2014 tarihinde yapılan ilk inceleme toplantısında öncelikle suç duyurusunda bulunulup bulunulmayacağı sorunu görüşülmüştür.</w:t>
      </w:r>
    </w:p>
    <w:p w:rsidR="00A87FAC" w:rsidRPr="00A87FAC" w:rsidRDefault="00A87FAC" w:rsidP="00A87FAC">
      <w:pPr>
        <w:spacing w:after="200"/>
        <w:ind w:right="283" w:firstLine="709"/>
        <w:jc w:val="both"/>
        <w:rPr>
          <w:color w:val="010000"/>
          <w:szCs w:val="19"/>
        </w:rPr>
      </w:pPr>
      <w:r w:rsidRPr="00A87FAC">
        <w:rPr>
          <w:color w:val="010000"/>
          <w:szCs w:val="19"/>
        </w:rPr>
        <w:t xml:space="preserve">2. 2820 sayılı Siyasi Partiler Kanunu’nun 73. maddesinin üçüncü fıkrasında </w:t>
      </w:r>
      <w:r w:rsidRPr="00A87FAC">
        <w:rPr>
          <w:i/>
          <w:color w:val="010000"/>
          <w:szCs w:val="19"/>
        </w:rPr>
        <w:t>“İller teşkilatından gönderilenler ve parti merkezine ait olan kesin hesapların, Merkez Karar ve Yönetim Kurulunca incelenerek karara bağlanacağı”</w:t>
      </w:r>
      <w:r w:rsidRPr="00A87FAC">
        <w:rPr>
          <w:color w:val="010000"/>
          <w:szCs w:val="19"/>
        </w:rPr>
        <w:t xml:space="preserve"> öngörülmüş ve aynı Kanun’un 74. maddesinin ikinci fıkrasında </w:t>
      </w:r>
      <w:r w:rsidRPr="00A87FAC">
        <w:rPr>
          <w:i/>
          <w:color w:val="010000"/>
          <w:szCs w:val="19"/>
        </w:rPr>
        <w:t>da “siyasi partilerin genel başkanları, karara bağlanarak birleştirilmiş bulunan kesin hesap ile parti merkez ve bağlı ilçeleri de kapsayan iller teşkilatının kesin hesaplarının onaylı birer örneğini Haziran ayı sonuna kadar Anayasa Mahkemesine ve bilgi için Yargıtay Cumhuriyet Başsavcılığına vermek zorundadırlar. Bu belgelere, ilgili siyasi partinin aynı hesap döneminde edindiği taşınmaz ve değeri yüz milyon lirayı aşan taşınır malların, menkul kıymetlerin ve her türlü hakların değerleri ile edinim tarihlerini ve şekillerini de belirten listeleri eklenir.”</w:t>
      </w:r>
      <w:r w:rsidRPr="00A87FAC">
        <w:rPr>
          <w:color w:val="010000"/>
          <w:szCs w:val="19"/>
        </w:rPr>
        <w:t xml:space="preserve"> denilerek il örgütlerinden gönderilen kesin hesaplar ile parti genel merkezine ilişkin kesin hesabın merkez karar ve yönetim kurulunca incelenerek karara bağlanacağı ve birleştirileceği, birleştirilmiş kesin hesap cetvellerinin Anayasa Mahkemesine sunulacağı hükme bağlanmıştır.</w:t>
      </w:r>
    </w:p>
    <w:p w:rsidR="00A87FAC" w:rsidRPr="00A87FAC" w:rsidRDefault="00A87FAC" w:rsidP="00A87FAC">
      <w:pPr>
        <w:autoSpaceDE w:val="0"/>
        <w:autoSpaceDN w:val="0"/>
        <w:adjustRightInd w:val="0"/>
        <w:spacing w:after="200"/>
        <w:ind w:right="283" w:firstLine="709"/>
        <w:jc w:val="both"/>
        <w:rPr>
          <w:color w:val="010000"/>
          <w:szCs w:val="19"/>
        </w:rPr>
      </w:pPr>
      <w:r w:rsidRPr="00A87FAC">
        <w:rPr>
          <w:color w:val="010000"/>
          <w:szCs w:val="19"/>
        </w:rPr>
        <w:t>3. Katılımcı Demokrasi Partisinin 2013 yılı içerisinde edindiği taşınmaz ve değeri yüz milyon lirayı aşan taşınır malların, menkul kıymetlerin ve her türlü hakların değerleri ile edinim tarihlerini ve şekillerini de belirten listeleri göndermediği tespit edilmiştir.</w:t>
      </w:r>
    </w:p>
    <w:p w:rsidR="00A87FAC" w:rsidRPr="00A87FAC" w:rsidRDefault="00A87FAC" w:rsidP="00A87FAC">
      <w:pPr>
        <w:autoSpaceDE w:val="0"/>
        <w:autoSpaceDN w:val="0"/>
        <w:adjustRightInd w:val="0"/>
        <w:spacing w:after="200"/>
        <w:ind w:right="283" w:firstLine="709"/>
        <w:jc w:val="both"/>
        <w:rPr>
          <w:color w:val="010000"/>
          <w:szCs w:val="19"/>
        </w:rPr>
      </w:pPr>
      <w:r w:rsidRPr="00A87FAC">
        <w:rPr>
          <w:color w:val="010000"/>
          <w:szCs w:val="19"/>
        </w:rPr>
        <w:t xml:space="preserve">4. 2820 sayılı Siyasi Partiler Kanunu’nun 111. maddesinin birinci fıkrasının (b) bendinde: </w:t>
      </w:r>
      <w:r w:rsidRPr="00A87FAC">
        <w:rPr>
          <w:i/>
          <w:color w:val="010000"/>
          <w:szCs w:val="19"/>
        </w:rPr>
        <w:t>“</w:t>
      </w:r>
      <w:proofErr w:type="gramStart"/>
      <w:r w:rsidRPr="00A87FAC">
        <w:rPr>
          <w:i/>
          <w:color w:val="010000"/>
          <w:szCs w:val="19"/>
        </w:rPr>
        <w:t>74 üncü</w:t>
      </w:r>
      <w:proofErr w:type="gramEnd"/>
      <w:r w:rsidRPr="00A87FAC">
        <w:rPr>
          <w:i/>
          <w:color w:val="010000"/>
          <w:szCs w:val="19"/>
        </w:rPr>
        <w:t xml:space="preserve"> madde hükümlerine aykırı hareket eden sorumluları hakkında, üç aydan altı aya kadar hafif hapis ve 15 milyon liradan 30 milyon liraya kadar hafif para cezası verilir.”</w:t>
      </w:r>
      <w:r w:rsidRPr="00A87FAC">
        <w:rPr>
          <w:color w:val="010000"/>
          <w:szCs w:val="19"/>
        </w:rPr>
        <w:t xml:space="preserve"> denilmektedir.</w:t>
      </w:r>
    </w:p>
    <w:p w:rsidR="00A87FAC" w:rsidRPr="00A87FAC" w:rsidRDefault="00A87FAC" w:rsidP="00A87FAC">
      <w:pPr>
        <w:spacing w:after="200"/>
        <w:ind w:right="283" w:firstLine="709"/>
        <w:jc w:val="both"/>
        <w:rPr>
          <w:color w:val="010000"/>
          <w:szCs w:val="19"/>
        </w:rPr>
      </w:pPr>
      <w:r w:rsidRPr="00A87FAC">
        <w:rPr>
          <w:color w:val="010000"/>
          <w:szCs w:val="19"/>
        </w:rPr>
        <w:t>5. 2820 sayılı Kanun’un 74. maddesi hükümlerine aykırı hareket eden parti sorumluları hakkında Kanun’un 111. maddesinin birinci fıkrasının (b) bendi uyarınca gerekli işlemlerin yapılması için Ankara Cumhuriyet Başsavcılığına suç duyurusunda bulunulması gerekir.</w:t>
      </w:r>
    </w:p>
    <w:p w:rsidR="00A87FAC" w:rsidRPr="00A87FAC" w:rsidRDefault="00A87FAC" w:rsidP="00A87FAC">
      <w:pPr>
        <w:pStyle w:val="msobodytextindent2"/>
        <w:spacing w:after="200"/>
        <w:ind w:left="0" w:right="283" w:firstLine="709"/>
        <w:jc w:val="both"/>
        <w:rPr>
          <w:color w:val="010000"/>
          <w:szCs w:val="19"/>
        </w:rPr>
      </w:pPr>
      <w:r w:rsidRPr="00A87FAC">
        <w:rPr>
          <w:color w:val="010000"/>
          <w:szCs w:val="19"/>
        </w:rPr>
        <w:t>6. Bu itibarla Katılımcı Demokrasi Partisinin 2013 yılı kesin hesabının incelenmesi sonucunda;</w:t>
      </w:r>
    </w:p>
    <w:p w:rsidR="00A87FAC" w:rsidRPr="00A87FAC" w:rsidRDefault="00A87FAC" w:rsidP="00A87FAC">
      <w:pPr>
        <w:pStyle w:val="msobodytextindent2"/>
        <w:spacing w:after="200"/>
        <w:ind w:left="0" w:right="283" w:firstLine="709"/>
        <w:jc w:val="both"/>
        <w:rPr>
          <w:color w:val="010000"/>
          <w:szCs w:val="19"/>
        </w:rPr>
      </w:pPr>
      <w:r w:rsidRPr="00A87FAC">
        <w:rPr>
          <w:color w:val="010000"/>
          <w:szCs w:val="19"/>
        </w:rPr>
        <w:t>1- Genel Merkeze ait kesin hesapların sunulmasından dolayı işin esasının incelenmesine;</w:t>
      </w:r>
      <w:r w:rsidRPr="00A87FAC">
        <w:rPr>
          <w:color w:val="010000"/>
          <w:szCs w:val="19"/>
        </w:rPr>
        <w:t xml:space="preserve"> </w:t>
      </w:r>
    </w:p>
    <w:p w:rsidR="00A87FAC" w:rsidRPr="00A87FAC" w:rsidRDefault="00A87FAC" w:rsidP="00A87FAC">
      <w:pPr>
        <w:pStyle w:val="msobodytextindent2"/>
        <w:spacing w:after="200"/>
        <w:ind w:left="0" w:right="283" w:firstLine="709"/>
        <w:jc w:val="both"/>
        <w:rPr>
          <w:color w:val="010000"/>
          <w:szCs w:val="19"/>
        </w:rPr>
      </w:pPr>
      <w:r w:rsidRPr="00A87FAC">
        <w:rPr>
          <w:color w:val="010000"/>
          <w:szCs w:val="19"/>
        </w:rPr>
        <w:t xml:space="preserve">2- Esas incelemenin yapılabilmesi amacıyla 2013 yılı içerisinde edindiği taşınmaz ve değeri yüz milyon lirayı aşan taşınır malların, menkul kıymetlerin ve her türlü hakların değerleri ile edinim </w:t>
      </w:r>
      <w:r w:rsidRPr="00A87FAC">
        <w:rPr>
          <w:color w:val="010000"/>
          <w:szCs w:val="19"/>
        </w:rPr>
        <w:lastRenderedPageBreak/>
        <w:t>tarihlerini ve şekillerini de belirten listelerin ve Genel Merkez kesin hesabının dayanağını oluşturan gelir-gider belgeleri ile bu belgelerin kaydedildiği defterlerin Sayıştay Başkanlığına göndermesi için partiye bu kararın tebliğinden itibaren 30 gün süre verilmesine,</w:t>
      </w:r>
    </w:p>
    <w:p w:rsidR="00A87FAC" w:rsidRPr="00A87FAC" w:rsidRDefault="00A87FAC" w:rsidP="00A87FAC">
      <w:pPr>
        <w:spacing w:after="200"/>
        <w:ind w:right="283" w:firstLine="709"/>
        <w:jc w:val="both"/>
        <w:rPr>
          <w:color w:val="010000"/>
          <w:szCs w:val="19"/>
        </w:rPr>
      </w:pPr>
      <w:r w:rsidRPr="00A87FAC">
        <w:rPr>
          <w:color w:val="010000"/>
          <w:szCs w:val="19"/>
        </w:rPr>
        <w:t>3- 2013 yılı içerisinde edindiği taşınmaz ve değeri yüz milyon lirayı aşan taşınır malların, menkul kıymetlerin ve her türlü hakların değerleri ile edinim tarihlerini ve şekillerini de belirten listelerin gönderilmemesi nedeniyle 2820 sayılı Siyasi Partiler Kanunu’nun 74. maddesi ve aynı kanunun 111. maddesinin birinci fıkrasının (b) bendi uyarınca yasal işlem yapılması için Ankara Cumhuriyet Başsavcılığına suç duyurusunda bulunulmasına</w:t>
      </w:r>
      <w:r w:rsidRPr="00A87FAC">
        <w:rPr>
          <w:i/>
          <w:color w:val="010000"/>
          <w:szCs w:val="19"/>
        </w:rPr>
        <w:t xml:space="preserve"> </w:t>
      </w:r>
      <w:r w:rsidRPr="00A87FAC">
        <w:rPr>
          <w:color w:val="010000"/>
          <w:szCs w:val="19"/>
        </w:rPr>
        <w:t>OYBİRLİĞİYLE karar verilmiştir.</w:t>
      </w:r>
    </w:p>
    <w:p w:rsidR="00A87FAC" w:rsidRPr="00A87FAC" w:rsidRDefault="00A87FAC" w:rsidP="00A87FAC">
      <w:pPr>
        <w:spacing w:after="200"/>
        <w:ind w:right="283" w:firstLine="709"/>
        <w:jc w:val="both"/>
        <w:rPr>
          <w:color w:val="010000"/>
          <w:szCs w:val="22"/>
        </w:rPr>
      </w:pPr>
      <w:r w:rsidRPr="00A87FAC">
        <w:rPr>
          <w:b/>
          <w:bCs/>
          <w:color w:val="010000"/>
          <w:szCs w:val="22"/>
        </w:rPr>
        <w:t>III- ESASIN İNCELENMESİ</w:t>
      </w:r>
    </w:p>
    <w:p w:rsidR="00A87FAC" w:rsidRPr="00A87FAC" w:rsidRDefault="00A87FAC" w:rsidP="00A87FAC">
      <w:pPr>
        <w:spacing w:after="200"/>
        <w:ind w:right="283" w:firstLine="709"/>
        <w:jc w:val="both"/>
        <w:rPr>
          <w:color w:val="010000"/>
          <w:szCs w:val="19"/>
        </w:rPr>
      </w:pPr>
      <w:r w:rsidRPr="00A87FAC">
        <w:rPr>
          <w:color w:val="010000"/>
          <w:szCs w:val="19"/>
        </w:rPr>
        <w:t>7. Katılımcı Demokrasi Partisinin, Anayasa Mahkemesine verdiği 2013 yılı kesin hesap çizelgeleri ile dayanağını oluşturan defter ve belgeler üzerinde yapılan inceleme sonuçlarını içeren ve Raportör Sadettin CEYHAN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A87FAC" w:rsidRPr="00A87FAC" w:rsidRDefault="00A87FAC" w:rsidP="00A87FAC">
      <w:pPr>
        <w:spacing w:after="200"/>
        <w:ind w:right="283" w:firstLine="709"/>
        <w:jc w:val="both"/>
        <w:rPr>
          <w:color w:val="010000"/>
          <w:szCs w:val="19"/>
        </w:rPr>
      </w:pPr>
      <w:r w:rsidRPr="00A87FAC">
        <w:rPr>
          <w:color w:val="010000"/>
          <w:szCs w:val="19"/>
        </w:rPr>
        <w:t>8. Denetimin maddi öğelerini oluşturan defter ve belgelerde Partinin 2013 yılı gelirlerinin 34.662,69 TL, giderler toplamının 33.319,58 TL, gelecek yıla devreden nakit tutarının 1.343,11TL olduğu anlaşılmaktadır.</w:t>
      </w:r>
    </w:p>
    <w:p w:rsidR="00A87FAC" w:rsidRPr="00A87FAC" w:rsidRDefault="00A87FAC" w:rsidP="00A87FAC">
      <w:pPr>
        <w:spacing w:after="200"/>
        <w:ind w:right="283" w:firstLine="709"/>
        <w:jc w:val="both"/>
        <w:rPr>
          <w:color w:val="010000"/>
          <w:szCs w:val="19"/>
        </w:rPr>
      </w:pPr>
      <w:r w:rsidRPr="00A87FAC">
        <w:rPr>
          <w:color w:val="010000"/>
          <w:szCs w:val="19"/>
        </w:rPr>
        <w:t>9. Partinin 2013 yılı kesin hesabının gelir ve gider rakamlarının yukarıda açıklanan tutarlardan oluştuğu, bu haliyle 2013 yılı kesin hesabının doğru, denk ve 2820 sayılı Kanun’a uygun olduğu sonucuna varılmıştır.</w:t>
      </w:r>
    </w:p>
    <w:p w:rsidR="00A87FAC" w:rsidRPr="00A87FAC" w:rsidRDefault="00A87FAC" w:rsidP="00A87FAC">
      <w:pPr>
        <w:spacing w:after="200"/>
        <w:ind w:right="283" w:firstLine="709"/>
        <w:jc w:val="both"/>
        <w:rPr>
          <w:color w:val="010000"/>
          <w:szCs w:val="22"/>
        </w:rPr>
      </w:pPr>
      <w:r w:rsidRPr="00A87FAC">
        <w:rPr>
          <w:b/>
          <w:bCs/>
          <w:color w:val="010000"/>
          <w:szCs w:val="22"/>
        </w:rPr>
        <w:t>A-</w:t>
      </w:r>
      <w:r w:rsidRPr="00A87FAC">
        <w:rPr>
          <w:color w:val="010000"/>
          <w:szCs w:val="22"/>
        </w:rPr>
        <w:t xml:space="preserve"> </w:t>
      </w:r>
      <w:r w:rsidRPr="00A87FAC">
        <w:rPr>
          <w:b/>
          <w:bCs/>
          <w:color w:val="010000"/>
          <w:szCs w:val="22"/>
        </w:rPr>
        <w:t>Gelirlerin İncelenmesi</w:t>
      </w:r>
    </w:p>
    <w:p w:rsidR="00A87FAC" w:rsidRPr="00A87FAC" w:rsidRDefault="00A87FAC" w:rsidP="00A87FAC">
      <w:pPr>
        <w:spacing w:after="200"/>
        <w:ind w:right="283" w:firstLine="709"/>
        <w:jc w:val="both"/>
        <w:rPr>
          <w:color w:val="010000"/>
          <w:szCs w:val="22"/>
        </w:rPr>
      </w:pPr>
      <w:r w:rsidRPr="00A87FAC">
        <w:rPr>
          <w:b/>
          <w:bCs/>
          <w:color w:val="010000"/>
          <w:szCs w:val="22"/>
        </w:rPr>
        <w:t>1- Genel Merkez Gelirleri</w:t>
      </w:r>
    </w:p>
    <w:p w:rsidR="00A87FAC" w:rsidRPr="00A87FAC" w:rsidRDefault="00A87FAC" w:rsidP="00A87FAC">
      <w:pPr>
        <w:spacing w:after="200"/>
        <w:ind w:right="283" w:firstLine="709"/>
        <w:jc w:val="both"/>
        <w:rPr>
          <w:color w:val="010000"/>
          <w:szCs w:val="19"/>
        </w:rPr>
      </w:pPr>
      <w:r w:rsidRPr="00A87FAC">
        <w:rPr>
          <w:color w:val="010000"/>
          <w:szCs w:val="19"/>
        </w:rPr>
        <w:t xml:space="preserve">10. Partinin Genel Merkez gelirleri toplamı 18.680,61 TL olup bunun 18.000,00 TL’si bağış ve aidatlardan, 680,61 TL’si geçmiş yıl gelirlerinden oluşmaktadır. </w:t>
      </w:r>
    </w:p>
    <w:p w:rsidR="00A87FAC" w:rsidRPr="00A87FAC" w:rsidRDefault="00A87FAC" w:rsidP="00A87FAC">
      <w:pPr>
        <w:spacing w:after="200"/>
        <w:ind w:right="283" w:firstLine="709"/>
        <w:jc w:val="both"/>
        <w:rPr>
          <w:color w:val="010000"/>
          <w:szCs w:val="19"/>
        </w:rPr>
      </w:pPr>
      <w:r w:rsidRPr="00A87FAC">
        <w:rPr>
          <w:color w:val="010000"/>
          <w:szCs w:val="19"/>
        </w:rPr>
        <w:t>11. Parti Genel Merkezinin defter kayıtları ve gelir belgeleri üzerinde yapılan incelemede, gelirlerin 2820 sayılı Kanun’a uygun olarak sağlandığı sonucuna varılmıştır.</w:t>
      </w:r>
    </w:p>
    <w:p w:rsidR="00A87FAC" w:rsidRPr="00A87FAC" w:rsidRDefault="00A87FAC" w:rsidP="00A87FAC">
      <w:pPr>
        <w:spacing w:after="200"/>
        <w:ind w:right="283" w:firstLine="709"/>
        <w:jc w:val="both"/>
        <w:rPr>
          <w:b/>
          <w:bCs/>
          <w:color w:val="010000"/>
          <w:szCs w:val="22"/>
        </w:rPr>
      </w:pPr>
      <w:r w:rsidRPr="00A87FAC">
        <w:rPr>
          <w:b/>
          <w:bCs/>
          <w:color w:val="010000"/>
          <w:szCs w:val="22"/>
        </w:rPr>
        <w:t>2- İl Örgütleri Gelirleri</w:t>
      </w:r>
    </w:p>
    <w:p w:rsidR="00A87FAC" w:rsidRPr="00A87FAC" w:rsidRDefault="00A87FAC" w:rsidP="00A87FAC">
      <w:pPr>
        <w:spacing w:after="200"/>
        <w:ind w:right="283" w:firstLine="709"/>
        <w:jc w:val="both"/>
        <w:rPr>
          <w:color w:val="010000"/>
          <w:szCs w:val="19"/>
        </w:rPr>
      </w:pPr>
      <w:r w:rsidRPr="00A87FAC">
        <w:rPr>
          <w:color w:val="010000"/>
          <w:szCs w:val="19"/>
        </w:rPr>
        <w:t xml:space="preserve">12. Partinin 2013 Yılında il örgütlerine ilişkin </w:t>
      </w:r>
      <w:r w:rsidRPr="00A87FAC">
        <w:rPr>
          <w:bCs/>
          <w:color w:val="010000"/>
          <w:szCs w:val="19"/>
        </w:rPr>
        <w:t xml:space="preserve">gelirler toplamı </w:t>
      </w:r>
      <w:r w:rsidRPr="00A87FAC">
        <w:rPr>
          <w:color w:val="010000"/>
          <w:szCs w:val="19"/>
        </w:rPr>
        <w:t xml:space="preserve">15.982,08 TL olup bunun 3.600,00 TL’si bağış ve aidat giderlerinden, 11.000,00 TL’si genel merkezden aktarılan tutarlardan, 1.382,08 TL’si geçmiş yıl gelirlerinden oluşmaktadır. </w:t>
      </w:r>
    </w:p>
    <w:p w:rsidR="00A87FAC" w:rsidRPr="00A87FAC" w:rsidRDefault="00A87FAC" w:rsidP="00A87FAC">
      <w:pPr>
        <w:spacing w:after="200"/>
        <w:ind w:right="283" w:firstLine="709"/>
        <w:jc w:val="both"/>
        <w:rPr>
          <w:color w:val="010000"/>
          <w:szCs w:val="19"/>
        </w:rPr>
      </w:pPr>
      <w:r w:rsidRPr="00A87FAC">
        <w:rPr>
          <w:color w:val="010000"/>
          <w:szCs w:val="19"/>
        </w:rPr>
        <w:t>13. Parti İl Örgütlerinin defter kayıtları ve gelir belgeleri üzerinde yapılan incelemede, gelirlerin 2820 sayılı Kanun’a uygun olarak sağlandığı sonucuna varılmıştır.</w:t>
      </w:r>
    </w:p>
    <w:p w:rsidR="00A87FAC" w:rsidRPr="00A87FAC" w:rsidRDefault="00A87FAC" w:rsidP="00A87FAC">
      <w:pPr>
        <w:spacing w:after="200"/>
        <w:ind w:right="283" w:firstLine="709"/>
        <w:jc w:val="both"/>
        <w:rPr>
          <w:color w:val="010000"/>
          <w:szCs w:val="22"/>
        </w:rPr>
      </w:pPr>
      <w:r w:rsidRPr="00A87FAC">
        <w:rPr>
          <w:b/>
          <w:bCs/>
          <w:color w:val="010000"/>
          <w:szCs w:val="22"/>
        </w:rPr>
        <w:t>B- Giderlerin İncelenmesi</w:t>
      </w:r>
    </w:p>
    <w:p w:rsidR="00A87FAC" w:rsidRPr="00A87FAC" w:rsidRDefault="00A87FAC" w:rsidP="00A87FAC">
      <w:pPr>
        <w:spacing w:after="200"/>
        <w:ind w:right="283" w:firstLine="709"/>
        <w:jc w:val="both"/>
        <w:rPr>
          <w:color w:val="010000"/>
          <w:szCs w:val="22"/>
        </w:rPr>
      </w:pPr>
      <w:r w:rsidRPr="00A87FAC">
        <w:rPr>
          <w:b/>
          <w:bCs/>
          <w:color w:val="010000"/>
          <w:szCs w:val="22"/>
        </w:rPr>
        <w:t>1- Genel Merkez Giderleri</w:t>
      </w:r>
    </w:p>
    <w:p w:rsidR="00A87FAC" w:rsidRPr="00A87FAC" w:rsidRDefault="00A87FAC" w:rsidP="00A87FAC">
      <w:pPr>
        <w:spacing w:after="200"/>
        <w:ind w:right="283" w:firstLine="709"/>
        <w:jc w:val="both"/>
        <w:rPr>
          <w:color w:val="010000"/>
          <w:szCs w:val="19"/>
        </w:rPr>
      </w:pPr>
      <w:r w:rsidRPr="00A87FAC">
        <w:rPr>
          <w:color w:val="010000"/>
          <w:szCs w:val="19"/>
        </w:rPr>
        <w:t xml:space="preserve">14. Partinin Genel Merkez giderleri toplamı 17.720,44 TL olup bunun 488,00 TL’si haberleşme giderlerinden, 4.800,00 TL’si kira giderlerinden, 500,00 TL’si apartman aidat ve temizlik giderlerinden, 463,10 TL’si doğalgaz ve elektrik giderlerinden, 234,14 TL’si su </w:t>
      </w:r>
      <w:r w:rsidRPr="00A87FAC">
        <w:rPr>
          <w:color w:val="010000"/>
          <w:szCs w:val="19"/>
        </w:rPr>
        <w:lastRenderedPageBreak/>
        <w:t>giderlerinden, 235,20 TL’si diğer giderlerden, 11.000,00 TL’si il teşkilatlarına yapılan yardımlardan oluşmaktadır. Gelecek yıla devreden nakit tutarı ise 960,17 TL’dir.</w:t>
      </w:r>
    </w:p>
    <w:p w:rsidR="00A87FAC" w:rsidRPr="00A87FAC" w:rsidRDefault="00A87FAC" w:rsidP="00A87FAC">
      <w:pPr>
        <w:spacing w:after="200"/>
        <w:ind w:right="283" w:firstLine="709"/>
        <w:jc w:val="both"/>
        <w:rPr>
          <w:color w:val="010000"/>
          <w:szCs w:val="19"/>
        </w:rPr>
      </w:pPr>
      <w:r w:rsidRPr="00A87FAC">
        <w:rPr>
          <w:color w:val="010000"/>
          <w:szCs w:val="19"/>
        </w:rPr>
        <w:t>15. Parti Genel Merkezinin defter kayıtları ve gider belgeleri üzerinde yapılan incelemede, giderlerin 2820 sayılı Kanun’a uygun olarak gerçekleştirildiği sonucuna varılmıştır.</w:t>
      </w:r>
    </w:p>
    <w:p w:rsidR="00A87FAC" w:rsidRPr="00A87FAC" w:rsidRDefault="00A87FAC" w:rsidP="00A87FAC">
      <w:pPr>
        <w:spacing w:after="200"/>
        <w:ind w:right="283" w:firstLine="709"/>
        <w:jc w:val="both"/>
        <w:rPr>
          <w:b/>
          <w:bCs/>
          <w:color w:val="010000"/>
          <w:szCs w:val="22"/>
        </w:rPr>
      </w:pPr>
      <w:r w:rsidRPr="00A87FAC">
        <w:rPr>
          <w:b/>
          <w:bCs/>
          <w:color w:val="010000"/>
          <w:szCs w:val="22"/>
        </w:rPr>
        <w:t>2- İl Örgütleri Giderleri</w:t>
      </w:r>
    </w:p>
    <w:p w:rsidR="00A87FAC" w:rsidRPr="00A87FAC" w:rsidRDefault="00A87FAC" w:rsidP="00A87FAC">
      <w:pPr>
        <w:overflowPunct w:val="0"/>
        <w:autoSpaceDE w:val="0"/>
        <w:autoSpaceDN w:val="0"/>
        <w:adjustRightInd w:val="0"/>
        <w:spacing w:after="200"/>
        <w:ind w:right="283" w:firstLine="709"/>
        <w:jc w:val="both"/>
        <w:textAlignment w:val="baseline"/>
        <w:rPr>
          <w:color w:val="010000"/>
          <w:szCs w:val="19"/>
        </w:rPr>
      </w:pPr>
      <w:r w:rsidRPr="00A87FAC">
        <w:rPr>
          <w:color w:val="010000"/>
          <w:szCs w:val="19"/>
        </w:rPr>
        <w:t>16. Partinin 2013 yılında il örgütlerine ilişkin giderler toplamı 15.599,14 TL olup; bunun 6.000,00 TL’si personel giderlerinden, 3.416,39 TL’si elektrik giderlerinden, 4.320,00 TL’si kira giderlerinden, 71,00 TL’si su giderlerinden, 699,75 TL’si telefon giderlerinden, 855,00 TL’si diğer giderlerden, 237,00 TL’si vergi ve harç giderlerinden oluşmaktadır. Gelecek yıla devreden nakit tutarı ise 382,94 TL’dir.</w:t>
      </w:r>
    </w:p>
    <w:p w:rsidR="00A87FAC" w:rsidRPr="00A87FAC" w:rsidRDefault="00A87FAC" w:rsidP="00A87FAC">
      <w:pPr>
        <w:overflowPunct w:val="0"/>
        <w:autoSpaceDE w:val="0"/>
        <w:autoSpaceDN w:val="0"/>
        <w:adjustRightInd w:val="0"/>
        <w:spacing w:after="200"/>
        <w:ind w:right="283" w:firstLine="709"/>
        <w:jc w:val="both"/>
        <w:textAlignment w:val="baseline"/>
        <w:rPr>
          <w:color w:val="010000"/>
          <w:szCs w:val="19"/>
        </w:rPr>
      </w:pPr>
      <w:r w:rsidRPr="00A87FAC">
        <w:rPr>
          <w:color w:val="010000"/>
          <w:szCs w:val="19"/>
        </w:rPr>
        <w:t>17. Parti İl Örgütlerinin defter kayıtları ve gider belgeleri üzerinde yapılan incelemede, giderlerin 2820 sayılı Kanun’a uygun olarak sağlandığı sonucuna varılmıştır.</w:t>
      </w:r>
    </w:p>
    <w:p w:rsidR="00A87FAC" w:rsidRPr="00A87FAC" w:rsidRDefault="00A87FAC" w:rsidP="00A87FAC">
      <w:pPr>
        <w:spacing w:after="200"/>
        <w:ind w:right="283" w:firstLine="709"/>
        <w:jc w:val="both"/>
        <w:rPr>
          <w:color w:val="010000"/>
          <w:szCs w:val="22"/>
        </w:rPr>
      </w:pPr>
      <w:r w:rsidRPr="00A87FAC">
        <w:rPr>
          <w:b/>
          <w:bCs/>
          <w:color w:val="010000"/>
          <w:szCs w:val="22"/>
        </w:rPr>
        <w:t>C- Parti Malları</w:t>
      </w:r>
    </w:p>
    <w:p w:rsidR="00A87FAC" w:rsidRPr="00A87FAC" w:rsidRDefault="00A87FAC" w:rsidP="00A87FAC">
      <w:pPr>
        <w:spacing w:after="200"/>
        <w:ind w:right="283" w:firstLine="709"/>
        <w:jc w:val="both"/>
        <w:rPr>
          <w:color w:val="010000"/>
          <w:szCs w:val="19"/>
        </w:rPr>
      </w:pPr>
      <w:r w:rsidRPr="00A87FAC">
        <w:rPr>
          <w:color w:val="010000"/>
          <w:szCs w:val="19"/>
        </w:rPr>
        <w:t>18. Partinin 2013 yılı defter ve belgeleri üzerinde yapılan incelemede, partinin 2013 yılında herhangi bir taşınmaz ile değeri 100,00 TL’yi aşan taşınır, menkul kıymet ve hak ediniminde bulunmadığı anlaşılmıştır.</w:t>
      </w:r>
      <w:r w:rsidRPr="00A87FAC">
        <w:rPr>
          <w:color w:val="010000"/>
          <w:szCs w:val="19"/>
        </w:rPr>
        <w:t xml:space="preserve"> </w:t>
      </w:r>
    </w:p>
    <w:p w:rsidR="00A87FAC" w:rsidRPr="00A87FAC" w:rsidRDefault="00A87FAC" w:rsidP="00A87FAC">
      <w:pPr>
        <w:spacing w:after="200"/>
        <w:ind w:right="283" w:firstLine="709"/>
        <w:jc w:val="both"/>
        <w:rPr>
          <w:color w:val="010000"/>
          <w:szCs w:val="22"/>
        </w:rPr>
      </w:pPr>
      <w:r w:rsidRPr="00A87FAC">
        <w:rPr>
          <w:b/>
          <w:bCs/>
          <w:color w:val="010000"/>
          <w:szCs w:val="22"/>
        </w:rPr>
        <w:t>IV- SONUÇ</w:t>
      </w:r>
    </w:p>
    <w:p w:rsidR="00A87FAC" w:rsidRPr="00A87FAC" w:rsidRDefault="00A87FAC" w:rsidP="00A87FAC">
      <w:pPr>
        <w:spacing w:after="200"/>
        <w:ind w:right="283" w:firstLine="709"/>
        <w:jc w:val="both"/>
        <w:rPr>
          <w:color w:val="010000"/>
          <w:szCs w:val="19"/>
        </w:rPr>
      </w:pPr>
      <w:r w:rsidRPr="00A87FAC">
        <w:rPr>
          <w:color w:val="010000"/>
          <w:szCs w:val="19"/>
        </w:rPr>
        <w:t>Katılımcı Demokrasi Partisinin 2013 yılı kesin hesabının incelenmesi sonucunda;</w:t>
      </w:r>
    </w:p>
    <w:p w:rsidR="00A87FAC" w:rsidRPr="00A87FAC" w:rsidRDefault="00A87FAC" w:rsidP="00A87FAC">
      <w:pPr>
        <w:spacing w:after="200"/>
        <w:ind w:right="283" w:firstLine="709"/>
        <w:jc w:val="both"/>
        <w:rPr>
          <w:color w:val="010000"/>
          <w:szCs w:val="19"/>
        </w:rPr>
      </w:pPr>
      <w:r w:rsidRPr="00A87FAC">
        <w:rPr>
          <w:color w:val="010000"/>
          <w:szCs w:val="19"/>
        </w:rPr>
        <w:t>Partinin 2013 yılı kesin hesabında gösterilen 34.662,69 TL gelir ve 33.319,58 TL giderin eldeki bilgi ve belgelere göre doğru, denk ve 2820 sayılı Siyasi Partiler Kanunu’na uygun olduğuna,</w:t>
      </w:r>
      <w:r w:rsidRPr="00A87FAC">
        <w:rPr>
          <w:color w:val="010000"/>
          <w:szCs w:val="19"/>
        </w:rPr>
        <w:t xml:space="preserve"> </w:t>
      </w:r>
      <w:r w:rsidRPr="00A87FAC">
        <w:rPr>
          <w:color w:val="010000"/>
          <w:szCs w:val="19"/>
        </w:rPr>
        <w:t>1.7.2015 tarihinde OYBİRLİĞİYLE karar verildi.</w:t>
      </w:r>
    </w:p>
    <w:p w:rsidR="00A87FAC" w:rsidRPr="00A87FAC" w:rsidRDefault="00A87FAC" w:rsidP="00A87FAC">
      <w:pPr>
        <w:spacing w:after="200"/>
        <w:ind w:right="283" w:firstLine="709"/>
        <w:jc w:val="both"/>
        <w:rPr>
          <w:color w:val="010000"/>
          <w:szCs w:val="19"/>
        </w:rPr>
      </w:pPr>
    </w:p>
    <w:p w:rsidR="00A87FAC" w:rsidRDefault="00A87FAC">
      <w:bookmarkStart w:id="0" w:name="_GoBack"/>
      <w:bookmarkEnd w:id="0"/>
    </w:p>
    <w:tbl>
      <w:tblPr>
        <w:tblW w:w="5000" w:type="pct"/>
        <w:jc w:val="center"/>
        <w:tblCellMar>
          <w:left w:w="70" w:type="dxa"/>
          <w:right w:w="70" w:type="dxa"/>
        </w:tblCellMar>
        <w:tblLook w:val="04A0" w:firstRow="1" w:lastRow="0" w:firstColumn="1" w:lastColumn="0" w:noHBand="0" w:noVBand="1"/>
      </w:tblPr>
      <w:tblGrid>
        <w:gridCol w:w="3269"/>
        <w:gridCol w:w="3325"/>
        <w:gridCol w:w="3186"/>
      </w:tblGrid>
      <w:tr w:rsidR="00A87FAC" w:rsidRPr="00A87FAC" w:rsidTr="00A87FAC">
        <w:trPr>
          <w:jc w:val="center"/>
        </w:trPr>
        <w:tc>
          <w:tcPr>
            <w:tcW w:w="1671" w:type="pct"/>
            <w:hideMark/>
          </w:tcPr>
          <w:p w:rsidR="00A87FAC" w:rsidRPr="00A87FAC" w:rsidRDefault="00A87FAC" w:rsidP="00A87FAC">
            <w:pPr>
              <w:spacing w:before="240" w:after="240"/>
              <w:jc w:val="center"/>
              <w:rPr>
                <w:rFonts w:eastAsia="Calibri"/>
                <w:color w:val="010000"/>
                <w:szCs w:val="19"/>
                <w:lang w:eastAsia="en-US"/>
              </w:rPr>
            </w:pPr>
            <w:r w:rsidRPr="00A87FAC">
              <w:rPr>
                <w:color w:val="010000"/>
                <w:szCs w:val="19"/>
              </w:rPr>
              <w:t>Başkan</w:t>
            </w:r>
          </w:p>
          <w:p w:rsidR="00A87FAC" w:rsidRPr="00A87FAC" w:rsidRDefault="00A87FAC" w:rsidP="00A87FAC">
            <w:pPr>
              <w:spacing w:before="240" w:after="240"/>
              <w:jc w:val="center"/>
              <w:rPr>
                <w:color w:val="010000"/>
                <w:szCs w:val="19"/>
                <w:lang w:eastAsia="en-US"/>
              </w:rPr>
            </w:pPr>
            <w:r w:rsidRPr="00A87FAC">
              <w:rPr>
                <w:color w:val="010000"/>
                <w:szCs w:val="19"/>
              </w:rPr>
              <w:t>Zühtü ARSLAN</w:t>
            </w:r>
          </w:p>
        </w:tc>
        <w:tc>
          <w:tcPr>
            <w:tcW w:w="1700" w:type="pct"/>
            <w:hideMark/>
          </w:tcPr>
          <w:p w:rsidR="00A87FAC" w:rsidRPr="00A87FAC" w:rsidRDefault="00A87FAC" w:rsidP="00A87FAC">
            <w:pPr>
              <w:spacing w:before="240" w:after="240"/>
              <w:jc w:val="center"/>
              <w:rPr>
                <w:rFonts w:eastAsia="Calibri"/>
                <w:color w:val="010000"/>
                <w:szCs w:val="19"/>
                <w:lang w:eastAsia="en-US"/>
              </w:rPr>
            </w:pPr>
            <w:r w:rsidRPr="00A87FAC">
              <w:rPr>
                <w:color w:val="010000"/>
                <w:szCs w:val="19"/>
              </w:rPr>
              <w:t>Başkanvekili</w:t>
            </w:r>
          </w:p>
          <w:p w:rsidR="00A87FAC" w:rsidRPr="00A87FAC" w:rsidRDefault="00A87FAC" w:rsidP="00A87FAC">
            <w:pPr>
              <w:spacing w:before="240" w:after="240"/>
              <w:jc w:val="center"/>
              <w:rPr>
                <w:color w:val="010000"/>
                <w:szCs w:val="19"/>
                <w:lang w:eastAsia="en-US"/>
              </w:rPr>
            </w:pPr>
            <w:r w:rsidRPr="00A87FAC">
              <w:rPr>
                <w:color w:val="010000"/>
                <w:szCs w:val="19"/>
              </w:rPr>
              <w:t>Burhan ÜSTÜN</w:t>
            </w:r>
          </w:p>
        </w:tc>
        <w:tc>
          <w:tcPr>
            <w:tcW w:w="1629" w:type="pct"/>
            <w:hideMark/>
          </w:tcPr>
          <w:p w:rsidR="00A87FAC" w:rsidRPr="00A87FAC" w:rsidRDefault="00A87FAC" w:rsidP="00A87FAC">
            <w:pPr>
              <w:spacing w:before="240" w:after="240"/>
              <w:jc w:val="center"/>
              <w:rPr>
                <w:rFonts w:eastAsia="Calibri"/>
                <w:color w:val="010000"/>
                <w:szCs w:val="19"/>
                <w:lang w:eastAsia="en-US"/>
              </w:rPr>
            </w:pPr>
            <w:r w:rsidRPr="00A87FAC">
              <w:rPr>
                <w:color w:val="010000"/>
                <w:szCs w:val="19"/>
              </w:rPr>
              <w:t>Üye</w:t>
            </w:r>
          </w:p>
          <w:p w:rsidR="00A87FAC" w:rsidRPr="00A87FAC" w:rsidRDefault="00A87FAC" w:rsidP="00A87FAC">
            <w:pPr>
              <w:spacing w:before="240" w:after="240"/>
              <w:jc w:val="center"/>
              <w:rPr>
                <w:color w:val="010000"/>
                <w:szCs w:val="19"/>
                <w:lang w:eastAsia="en-US"/>
              </w:rPr>
            </w:pPr>
            <w:r w:rsidRPr="00A87FAC">
              <w:rPr>
                <w:color w:val="010000"/>
                <w:szCs w:val="19"/>
              </w:rPr>
              <w:t>Serdar ÖZGÜLDÜR</w:t>
            </w:r>
          </w:p>
        </w:tc>
      </w:tr>
      <w:tr w:rsidR="00A87FAC" w:rsidRPr="00A87FAC" w:rsidTr="00A87FAC">
        <w:trPr>
          <w:jc w:val="center"/>
        </w:trPr>
        <w:tc>
          <w:tcPr>
            <w:tcW w:w="1671" w:type="pct"/>
            <w:hideMark/>
          </w:tcPr>
          <w:p w:rsidR="00A87FAC" w:rsidRPr="00A87FAC" w:rsidRDefault="00A87FAC" w:rsidP="00A87FAC">
            <w:pPr>
              <w:spacing w:before="240" w:after="240"/>
              <w:jc w:val="center"/>
              <w:rPr>
                <w:rFonts w:eastAsia="Calibri"/>
                <w:color w:val="010000"/>
                <w:szCs w:val="19"/>
                <w:lang w:eastAsia="en-US"/>
              </w:rPr>
            </w:pPr>
            <w:r w:rsidRPr="00A87FAC">
              <w:rPr>
                <w:color w:val="010000"/>
                <w:szCs w:val="19"/>
              </w:rPr>
              <w:t>Üye</w:t>
            </w:r>
          </w:p>
          <w:p w:rsidR="00A87FAC" w:rsidRPr="00A87FAC" w:rsidRDefault="00A87FAC" w:rsidP="00A87FAC">
            <w:pPr>
              <w:spacing w:before="240" w:after="240"/>
              <w:jc w:val="center"/>
              <w:rPr>
                <w:color w:val="010000"/>
                <w:szCs w:val="19"/>
                <w:lang w:eastAsia="en-US"/>
              </w:rPr>
            </w:pPr>
            <w:r w:rsidRPr="00A87FAC">
              <w:rPr>
                <w:color w:val="010000"/>
                <w:szCs w:val="19"/>
              </w:rPr>
              <w:t xml:space="preserve"> Osman </w:t>
            </w:r>
            <w:proofErr w:type="spellStart"/>
            <w:r w:rsidRPr="00A87FAC">
              <w:rPr>
                <w:color w:val="010000"/>
                <w:szCs w:val="19"/>
              </w:rPr>
              <w:t>Alifeyyaz</w:t>
            </w:r>
            <w:proofErr w:type="spellEnd"/>
            <w:r w:rsidRPr="00A87FAC">
              <w:rPr>
                <w:color w:val="010000"/>
                <w:szCs w:val="19"/>
              </w:rPr>
              <w:t xml:space="preserve"> PAKSÜT</w:t>
            </w:r>
          </w:p>
        </w:tc>
        <w:tc>
          <w:tcPr>
            <w:tcW w:w="1700" w:type="pct"/>
            <w:hideMark/>
          </w:tcPr>
          <w:p w:rsidR="00A87FAC" w:rsidRPr="00A87FAC" w:rsidRDefault="00A87FAC" w:rsidP="00A87FAC">
            <w:pPr>
              <w:spacing w:before="240" w:after="240"/>
              <w:jc w:val="center"/>
              <w:rPr>
                <w:rFonts w:eastAsia="Calibri"/>
                <w:color w:val="010000"/>
                <w:szCs w:val="19"/>
                <w:lang w:eastAsia="en-US"/>
              </w:rPr>
            </w:pPr>
            <w:r w:rsidRPr="00A87FAC">
              <w:rPr>
                <w:color w:val="010000"/>
                <w:szCs w:val="19"/>
              </w:rPr>
              <w:t>Üye</w:t>
            </w:r>
          </w:p>
          <w:p w:rsidR="00A87FAC" w:rsidRPr="00A87FAC" w:rsidRDefault="00A87FAC" w:rsidP="00A87FAC">
            <w:pPr>
              <w:spacing w:before="240" w:after="240"/>
              <w:jc w:val="center"/>
              <w:rPr>
                <w:color w:val="010000"/>
                <w:szCs w:val="19"/>
                <w:lang w:eastAsia="en-US"/>
              </w:rPr>
            </w:pPr>
            <w:r w:rsidRPr="00A87FAC">
              <w:rPr>
                <w:color w:val="010000"/>
                <w:szCs w:val="19"/>
              </w:rPr>
              <w:t xml:space="preserve"> Recep KÖMÜRCÜ</w:t>
            </w:r>
          </w:p>
        </w:tc>
        <w:tc>
          <w:tcPr>
            <w:tcW w:w="1629" w:type="pct"/>
            <w:hideMark/>
          </w:tcPr>
          <w:p w:rsidR="00A87FAC" w:rsidRPr="00A87FAC" w:rsidRDefault="00A87FAC" w:rsidP="00A87FAC">
            <w:pPr>
              <w:spacing w:before="240" w:after="240"/>
              <w:jc w:val="center"/>
              <w:rPr>
                <w:rFonts w:eastAsia="Calibri"/>
                <w:color w:val="010000"/>
                <w:szCs w:val="19"/>
                <w:lang w:eastAsia="en-US"/>
              </w:rPr>
            </w:pPr>
            <w:r w:rsidRPr="00A87FAC">
              <w:rPr>
                <w:color w:val="010000"/>
                <w:szCs w:val="19"/>
              </w:rPr>
              <w:t>Üye</w:t>
            </w:r>
          </w:p>
          <w:p w:rsidR="00A87FAC" w:rsidRPr="00A87FAC" w:rsidRDefault="00A87FAC" w:rsidP="00A87FAC">
            <w:pPr>
              <w:spacing w:before="240" w:after="240"/>
              <w:jc w:val="center"/>
              <w:rPr>
                <w:color w:val="010000"/>
                <w:szCs w:val="19"/>
                <w:lang w:eastAsia="en-US"/>
              </w:rPr>
            </w:pPr>
            <w:r w:rsidRPr="00A87FAC">
              <w:rPr>
                <w:color w:val="010000"/>
                <w:szCs w:val="19"/>
              </w:rPr>
              <w:t>Engin YILDIRIM</w:t>
            </w:r>
            <w:r w:rsidRPr="00A87FAC">
              <w:rPr>
                <w:color w:val="010000"/>
                <w:szCs w:val="19"/>
              </w:rPr>
              <w:t xml:space="preserve"> </w:t>
            </w:r>
          </w:p>
        </w:tc>
      </w:tr>
      <w:tr w:rsidR="00A87FAC" w:rsidRPr="00A87FAC" w:rsidTr="00A87FAC">
        <w:trPr>
          <w:jc w:val="center"/>
        </w:trPr>
        <w:tc>
          <w:tcPr>
            <w:tcW w:w="1671" w:type="pct"/>
            <w:hideMark/>
          </w:tcPr>
          <w:p w:rsidR="00A87FAC" w:rsidRPr="00A87FAC" w:rsidRDefault="00A87FAC" w:rsidP="00A87FAC">
            <w:pPr>
              <w:spacing w:before="240" w:after="240"/>
              <w:jc w:val="center"/>
              <w:rPr>
                <w:rFonts w:eastAsia="Calibri"/>
                <w:color w:val="010000"/>
                <w:szCs w:val="19"/>
                <w:lang w:eastAsia="en-US"/>
              </w:rPr>
            </w:pPr>
            <w:r w:rsidRPr="00A87FAC">
              <w:rPr>
                <w:color w:val="010000"/>
                <w:szCs w:val="19"/>
              </w:rPr>
              <w:t>Üye</w:t>
            </w:r>
          </w:p>
          <w:p w:rsidR="00A87FAC" w:rsidRPr="00A87FAC" w:rsidRDefault="00A87FAC" w:rsidP="00A87FAC">
            <w:pPr>
              <w:spacing w:before="240" w:after="240"/>
              <w:jc w:val="center"/>
              <w:rPr>
                <w:color w:val="010000"/>
                <w:szCs w:val="19"/>
                <w:lang w:eastAsia="en-US"/>
              </w:rPr>
            </w:pPr>
            <w:r w:rsidRPr="00A87FAC">
              <w:rPr>
                <w:color w:val="010000"/>
                <w:szCs w:val="19"/>
              </w:rPr>
              <w:t>Nuri NECİPOĞLU</w:t>
            </w:r>
          </w:p>
        </w:tc>
        <w:tc>
          <w:tcPr>
            <w:tcW w:w="1700" w:type="pct"/>
            <w:hideMark/>
          </w:tcPr>
          <w:p w:rsidR="00A87FAC" w:rsidRPr="00A87FAC" w:rsidRDefault="00A87FAC" w:rsidP="00A87FAC">
            <w:pPr>
              <w:spacing w:before="240" w:after="240"/>
              <w:jc w:val="center"/>
              <w:rPr>
                <w:rFonts w:eastAsia="Calibri"/>
                <w:color w:val="010000"/>
                <w:szCs w:val="19"/>
                <w:lang w:eastAsia="en-US"/>
              </w:rPr>
            </w:pPr>
            <w:r w:rsidRPr="00A87FAC">
              <w:rPr>
                <w:color w:val="010000"/>
                <w:szCs w:val="19"/>
              </w:rPr>
              <w:t>Üye</w:t>
            </w:r>
          </w:p>
          <w:p w:rsidR="00A87FAC" w:rsidRPr="00A87FAC" w:rsidRDefault="00A87FAC" w:rsidP="00A87FAC">
            <w:pPr>
              <w:spacing w:before="240" w:after="240"/>
              <w:jc w:val="center"/>
              <w:rPr>
                <w:color w:val="010000"/>
                <w:szCs w:val="19"/>
                <w:lang w:eastAsia="en-US"/>
              </w:rPr>
            </w:pPr>
            <w:proofErr w:type="spellStart"/>
            <w:r w:rsidRPr="00A87FAC">
              <w:rPr>
                <w:color w:val="010000"/>
                <w:szCs w:val="19"/>
              </w:rPr>
              <w:t>Hicabi</w:t>
            </w:r>
            <w:proofErr w:type="spellEnd"/>
            <w:r w:rsidRPr="00A87FAC">
              <w:rPr>
                <w:color w:val="010000"/>
                <w:szCs w:val="19"/>
              </w:rPr>
              <w:t xml:space="preserve"> DURSUN</w:t>
            </w:r>
          </w:p>
        </w:tc>
        <w:tc>
          <w:tcPr>
            <w:tcW w:w="1629" w:type="pct"/>
            <w:hideMark/>
          </w:tcPr>
          <w:p w:rsidR="00A87FAC" w:rsidRPr="00A87FAC" w:rsidRDefault="00A87FAC" w:rsidP="00A87FAC">
            <w:pPr>
              <w:spacing w:before="240" w:after="240"/>
              <w:jc w:val="center"/>
              <w:rPr>
                <w:rFonts w:eastAsia="Calibri"/>
                <w:color w:val="010000"/>
                <w:szCs w:val="19"/>
                <w:lang w:eastAsia="en-US"/>
              </w:rPr>
            </w:pPr>
            <w:r w:rsidRPr="00A87FAC">
              <w:rPr>
                <w:color w:val="010000"/>
                <w:szCs w:val="19"/>
              </w:rPr>
              <w:t>Üye</w:t>
            </w:r>
          </w:p>
          <w:p w:rsidR="00A87FAC" w:rsidRPr="00A87FAC" w:rsidRDefault="00A87FAC" w:rsidP="00A87FAC">
            <w:pPr>
              <w:spacing w:before="240" w:after="240"/>
              <w:jc w:val="center"/>
              <w:rPr>
                <w:color w:val="010000"/>
                <w:szCs w:val="19"/>
                <w:lang w:eastAsia="en-US"/>
              </w:rPr>
            </w:pPr>
            <w:r w:rsidRPr="00A87FAC">
              <w:rPr>
                <w:color w:val="010000"/>
                <w:szCs w:val="19"/>
              </w:rPr>
              <w:t>Celal Mümtaz AKINCI</w:t>
            </w:r>
          </w:p>
        </w:tc>
      </w:tr>
      <w:tr w:rsidR="00A87FAC" w:rsidRPr="00A87FAC" w:rsidTr="00A87FAC">
        <w:trPr>
          <w:jc w:val="center"/>
        </w:trPr>
        <w:tc>
          <w:tcPr>
            <w:tcW w:w="1671" w:type="pct"/>
            <w:hideMark/>
          </w:tcPr>
          <w:p w:rsidR="00A87FAC" w:rsidRPr="00A87FAC" w:rsidRDefault="00A87FAC" w:rsidP="00A87FAC">
            <w:pPr>
              <w:spacing w:before="240" w:after="240"/>
              <w:jc w:val="center"/>
              <w:rPr>
                <w:rFonts w:eastAsia="Calibri"/>
                <w:color w:val="010000"/>
                <w:szCs w:val="19"/>
                <w:lang w:eastAsia="en-US"/>
              </w:rPr>
            </w:pPr>
            <w:r w:rsidRPr="00A87FAC">
              <w:rPr>
                <w:color w:val="010000"/>
                <w:szCs w:val="19"/>
              </w:rPr>
              <w:t>Üye</w:t>
            </w:r>
          </w:p>
          <w:p w:rsidR="00A87FAC" w:rsidRPr="00A87FAC" w:rsidRDefault="00A87FAC" w:rsidP="00A87FAC">
            <w:pPr>
              <w:spacing w:before="240" w:after="240"/>
              <w:jc w:val="center"/>
              <w:rPr>
                <w:color w:val="010000"/>
                <w:szCs w:val="19"/>
                <w:lang w:eastAsia="en-US"/>
              </w:rPr>
            </w:pPr>
            <w:r w:rsidRPr="00A87FAC">
              <w:rPr>
                <w:color w:val="010000"/>
                <w:szCs w:val="19"/>
              </w:rPr>
              <w:t>Erdal TERCAN</w:t>
            </w:r>
          </w:p>
        </w:tc>
        <w:tc>
          <w:tcPr>
            <w:tcW w:w="1700" w:type="pct"/>
            <w:hideMark/>
          </w:tcPr>
          <w:p w:rsidR="00A87FAC" w:rsidRPr="00A87FAC" w:rsidRDefault="00A87FAC" w:rsidP="00A87FAC">
            <w:pPr>
              <w:spacing w:before="240" w:after="240"/>
              <w:jc w:val="center"/>
              <w:rPr>
                <w:rFonts w:eastAsia="Calibri"/>
                <w:color w:val="010000"/>
                <w:szCs w:val="19"/>
                <w:lang w:eastAsia="en-US"/>
              </w:rPr>
            </w:pPr>
            <w:r w:rsidRPr="00A87FAC">
              <w:rPr>
                <w:color w:val="010000"/>
                <w:szCs w:val="19"/>
              </w:rPr>
              <w:t>Üye</w:t>
            </w:r>
          </w:p>
          <w:p w:rsidR="00A87FAC" w:rsidRPr="00A87FAC" w:rsidRDefault="00A87FAC" w:rsidP="00A87FAC">
            <w:pPr>
              <w:spacing w:before="240" w:after="240"/>
              <w:jc w:val="center"/>
              <w:rPr>
                <w:color w:val="010000"/>
                <w:szCs w:val="19"/>
                <w:lang w:eastAsia="en-US"/>
              </w:rPr>
            </w:pPr>
            <w:r w:rsidRPr="00A87FAC">
              <w:rPr>
                <w:color w:val="010000"/>
                <w:szCs w:val="19"/>
              </w:rPr>
              <w:t>Muammer TOPAL</w:t>
            </w:r>
          </w:p>
        </w:tc>
        <w:tc>
          <w:tcPr>
            <w:tcW w:w="1629" w:type="pct"/>
            <w:hideMark/>
          </w:tcPr>
          <w:p w:rsidR="00A87FAC" w:rsidRPr="00A87FAC" w:rsidRDefault="00A87FAC" w:rsidP="00A87FAC">
            <w:pPr>
              <w:spacing w:before="240" w:after="240"/>
              <w:jc w:val="center"/>
              <w:rPr>
                <w:rFonts w:eastAsia="Calibri"/>
                <w:color w:val="010000"/>
                <w:szCs w:val="19"/>
                <w:lang w:eastAsia="en-US"/>
              </w:rPr>
            </w:pPr>
            <w:r w:rsidRPr="00A87FAC">
              <w:rPr>
                <w:color w:val="010000"/>
                <w:szCs w:val="19"/>
              </w:rPr>
              <w:t>Üye</w:t>
            </w:r>
          </w:p>
          <w:p w:rsidR="00A87FAC" w:rsidRPr="00A87FAC" w:rsidRDefault="00A87FAC" w:rsidP="00A87FAC">
            <w:pPr>
              <w:spacing w:before="240" w:after="240"/>
              <w:jc w:val="center"/>
              <w:rPr>
                <w:color w:val="010000"/>
                <w:szCs w:val="19"/>
                <w:lang w:eastAsia="en-US"/>
              </w:rPr>
            </w:pPr>
            <w:r w:rsidRPr="00A87FAC">
              <w:rPr>
                <w:color w:val="010000"/>
                <w:szCs w:val="19"/>
              </w:rPr>
              <w:t>M. Emin KUZ</w:t>
            </w:r>
          </w:p>
        </w:tc>
      </w:tr>
      <w:tr w:rsidR="00A87FAC" w:rsidRPr="00A87FAC" w:rsidTr="00A87FAC">
        <w:trPr>
          <w:jc w:val="center"/>
        </w:trPr>
        <w:tc>
          <w:tcPr>
            <w:tcW w:w="1671" w:type="pct"/>
            <w:hideMark/>
          </w:tcPr>
          <w:p w:rsidR="00A87FAC" w:rsidRPr="00A87FAC" w:rsidRDefault="00A87FAC" w:rsidP="00A87FAC">
            <w:pPr>
              <w:spacing w:before="240" w:after="240"/>
              <w:jc w:val="center"/>
              <w:rPr>
                <w:rFonts w:eastAsia="Calibri"/>
                <w:color w:val="010000"/>
                <w:szCs w:val="19"/>
                <w:lang w:eastAsia="en-US"/>
              </w:rPr>
            </w:pPr>
            <w:r w:rsidRPr="00A87FAC">
              <w:rPr>
                <w:color w:val="010000"/>
                <w:szCs w:val="19"/>
              </w:rPr>
              <w:lastRenderedPageBreak/>
              <w:t>Üye</w:t>
            </w:r>
          </w:p>
          <w:p w:rsidR="00A87FAC" w:rsidRPr="00A87FAC" w:rsidRDefault="00A87FAC" w:rsidP="00A87FAC">
            <w:pPr>
              <w:spacing w:before="240" w:after="240"/>
              <w:jc w:val="center"/>
              <w:rPr>
                <w:color w:val="010000"/>
                <w:szCs w:val="19"/>
                <w:lang w:eastAsia="en-US"/>
              </w:rPr>
            </w:pPr>
            <w:r w:rsidRPr="00A87FAC">
              <w:rPr>
                <w:color w:val="010000"/>
                <w:szCs w:val="19"/>
              </w:rPr>
              <w:t>Hasan Tahsin GÖKCAN</w:t>
            </w:r>
          </w:p>
        </w:tc>
        <w:tc>
          <w:tcPr>
            <w:tcW w:w="1700" w:type="pct"/>
            <w:hideMark/>
          </w:tcPr>
          <w:p w:rsidR="00A87FAC" w:rsidRPr="00A87FAC" w:rsidRDefault="00A87FAC" w:rsidP="00A87FAC">
            <w:pPr>
              <w:spacing w:before="240" w:after="240"/>
              <w:jc w:val="center"/>
              <w:rPr>
                <w:rFonts w:eastAsia="Calibri"/>
                <w:color w:val="010000"/>
                <w:szCs w:val="19"/>
                <w:lang w:eastAsia="en-US"/>
              </w:rPr>
            </w:pPr>
            <w:r w:rsidRPr="00A87FAC">
              <w:rPr>
                <w:color w:val="010000"/>
                <w:szCs w:val="19"/>
              </w:rPr>
              <w:t>Üye</w:t>
            </w:r>
          </w:p>
          <w:p w:rsidR="00A87FAC" w:rsidRPr="00A87FAC" w:rsidRDefault="00A87FAC" w:rsidP="00A87FAC">
            <w:pPr>
              <w:spacing w:before="240" w:after="240"/>
              <w:jc w:val="center"/>
              <w:rPr>
                <w:color w:val="010000"/>
                <w:szCs w:val="19"/>
                <w:lang w:eastAsia="en-US"/>
              </w:rPr>
            </w:pPr>
            <w:r w:rsidRPr="00A87FAC">
              <w:rPr>
                <w:color w:val="010000"/>
                <w:szCs w:val="19"/>
              </w:rPr>
              <w:t>Kadir ÖZKAYA</w:t>
            </w:r>
          </w:p>
        </w:tc>
        <w:tc>
          <w:tcPr>
            <w:tcW w:w="1629" w:type="pct"/>
            <w:hideMark/>
          </w:tcPr>
          <w:p w:rsidR="00A87FAC" w:rsidRPr="00A87FAC" w:rsidRDefault="00A87FAC" w:rsidP="00A87FAC">
            <w:pPr>
              <w:spacing w:before="240" w:after="240"/>
              <w:jc w:val="center"/>
              <w:rPr>
                <w:rFonts w:eastAsia="Calibri"/>
                <w:color w:val="010000"/>
                <w:szCs w:val="19"/>
                <w:lang w:eastAsia="en-US"/>
              </w:rPr>
            </w:pPr>
            <w:r w:rsidRPr="00A87FAC">
              <w:rPr>
                <w:color w:val="010000"/>
                <w:szCs w:val="19"/>
              </w:rPr>
              <w:t>Üye</w:t>
            </w:r>
          </w:p>
          <w:p w:rsidR="00A87FAC" w:rsidRPr="00A87FAC" w:rsidRDefault="00A87FAC" w:rsidP="00A87FAC">
            <w:pPr>
              <w:spacing w:before="240" w:after="240"/>
              <w:jc w:val="center"/>
              <w:rPr>
                <w:color w:val="010000"/>
                <w:szCs w:val="19"/>
                <w:lang w:eastAsia="en-US"/>
              </w:rPr>
            </w:pPr>
            <w:r w:rsidRPr="00A87FAC">
              <w:rPr>
                <w:color w:val="010000"/>
                <w:szCs w:val="19"/>
              </w:rPr>
              <w:t>Rıdvan GÜLEÇ</w:t>
            </w:r>
          </w:p>
        </w:tc>
      </w:tr>
    </w:tbl>
    <w:p w:rsidR="00A87FAC" w:rsidRPr="00A87FAC" w:rsidRDefault="00A87FAC" w:rsidP="00A87FAC">
      <w:pPr>
        <w:spacing w:after="200"/>
        <w:ind w:right="283" w:firstLine="709"/>
        <w:jc w:val="both"/>
        <w:rPr>
          <w:color w:val="010000"/>
          <w:szCs w:val="19"/>
        </w:rPr>
      </w:pPr>
    </w:p>
    <w:sectPr w:rsidR="00A87FAC" w:rsidRPr="00A87FAC" w:rsidSect="00A87FAC">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60EE1" w:rsidRDefault="00260EE1" w:rsidP="00A87FAC">
      <w:r>
        <w:separator/>
      </w:r>
    </w:p>
  </w:endnote>
  <w:endnote w:type="continuationSeparator" w:id="0">
    <w:p w:rsidR="00260EE1" w:rsidRDefault="00260EE1" w:rsidP="00A87F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7FAC" w:rsidRDefault="00A87FAC" w:rsidP="003411B3">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A87FAC" w:rsidRDefault="00A87FAC" w:rsidP="00A87FAC">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7FAC" w:rsidRPr="00A87FAC" w:rsidRDefault="00A87FAC" w:rsidP="003411B3">
    <w:pPr>
      <w:pStyle w:val="AltBilgi"/>
      <w:framePr w:wrap="around" w:vAnchor="text" w:hAnchor="margin" w:xAlign="right" w:y="1"/>
      <w:rPr>
        <w:rStyle w:val="SayfaNumaras"/>
      </w:rPr>
    </w:pPr>
    <w:r w:rsidRPr="00A87FAC">
      <w:rPr>
        <w:rStyle w:val="SayfaNumaras"/>
      </w:rPr>
      <w:fldChar w:fldCharType="begin"/>
    </w:r>
    <w:r w:rsidRPr="00A87FAC">
      <w:rPr>
        <w:rStyle w:val="SayfaNumaras"/>
      </w:rPr>
      <w:instrText xml:space="preserve"> PAGE </w:instrText>
    </w:r>
    <w:r w:rsidRPr="00A87FAC">
      <w:rPr>
        <w:rStyle w:val="SayfaNumaras"/>
      </w:rPr>
      <w:fldChar w:fldCharType="separate"/>
    </w:r>
    <w:r w:rsidRPr="00A87FAC">
      <w:rPr>
        <w:rStyle w:val="SayfaNumaras"/>
        <w:noProof/>
      </w:rPr>
      <w:t>1</w:t>
    </w:r>
    <w:r w:rsidRPr="00A87FAC">
      <w:rPr>
        <w:rStyle w:val="SayfaNumaras"/>
      </w:rPr>
      <w:fldChar w:fldCharType="end"/>
    </w:r>
  </w:p>
  <w:p w:rsidR="009D1C0E" w:rsidRDefault="00260EE1" w:rsidP="00A87FAC">
    <w:pPr>
      <w:pStyle w:val="a"/>
      <w:ind w:right="360"/>
      <w:jc w:val="center"/>
    </w:pPr>
  </w:p>
  <w:p w:rsidR="009D1C0E" w:rsidRDefault="00260EE1">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60EE1" w:rsidRDefault="00260EE1" w:rsidP="00A87FAC">
      <w:r>
        <w:separator/>
      </w:r>
    </w:p>
  </w:footnote>
  <w:footnote w:type="continuationSeparator" w:id="0">
    <w:p w:rsidR="00260EE1" w:rsidRDefault="00260EE1" w:rsidP="00A87FA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7FAC" w:rsidRPr="00A87FAC" w:rsidRDefault="00A87FAC" w:rsidP="00A87FAC">
    <w:pPr>
      <w:pStyle w:val="stBilgi"/>
      <w:rPr>
        <w:b/>
      </w:rPr>
    </w:pPr>
    <w:r w:rsidRPr="00A87FAC">
      <w:rPr>
        <w:b/>
      </w:rPr>
      <w:t>Esas Sayısı:2014/15 (Siyasi Parti Mali Denetimi)</w:t>
    </w:r>
  </w:p>
  <w:p w:rsidR="00A87FAC" w:rsidRDefault="00A87FAC" w:rsidP="00A87FAC">
    <w:pPr>
      <w:pStyle w:val="stBilgi"/>
      <w:rPr>
        <w:b/>
      </w:rPr>
    </w:pPr>
    <w:r>
      <w:rPr>
        <w:b/>
      </w:rPr>
      <w:t>Karar Sayısı:2015/36</w:t>
    </w:r>
  </w:p>
  <w:p w:rsidR="009D1C0E" w:rsidRPr="00A87FAC" w:rsidRDefault="00260EE1" w:rsidP="00A87FAC">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7FAC"/>
    <w:rsid w:val="00260EE1"/>
    <w:rsid w:val="00A87FAC"/>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D443D7D-AD36-48E3-A736-5EAB5F208E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87FAC"/>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msobodytextindent2">
    <w:name w:val="msobodytextindent2"/>
    <w:basedOn w:val="Normal"/>
    <w:rsid w:val="00A87FAC"/>
    <w:pPr>
      <w:ind w:left="360"/>
    </w:pPr>
  </w:style>
  <w:style w:type="paragraph" w:styleId="a">
    <w:basedOn w:val="Normal"/>
    <w:next w:val="AltBilgi"/>
    <w:link w:val="AltbilgiChar"/>
    <w:uiPriority w:val="99"/>
    <w:rsid w:val="00A87FAC"/>
    <w:pPr>
      <w:tabs>
        <w:tab w:val="center" w:pos="4536"/>
        <w:tab w:val="right" w:pos="9072"/>
      </w:tabs>
    </w:pPr>
  </w:style>
  <w:style w:type="character" w:customStyle="1" w:styleId="AltbilgiChar">
    <w:name w:val="Altbilgi Char"/>
    <w:link w:val="a"/>
    <w:uiPriority w:val="99"/>
    <w:rsid w:val="00A87FAC"/>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A87FAC"/>
    <w:pPr>
      <w:tabs>
        <w:tab w:val="center" w:pos="4536"/>
        <w:tab w:val="right" w:pos="9072"/>
      </w:tabs>
    </w:pPr>
  </w:style>
  <w:style w:type="character" w:customStyle="1" w:styleId="AltBilgiChar0">
    <w:name w:val="Alt Bilgi Char"/>
    <w:basedOn w:val="VarsaylanParagrafYazTipi"/>
    <w:link w:val="AltBilgi"/>
    <w:uiPriority w:val="99"/>
    <w:rsid w:val="00A87FAC"/>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A87FAC"/>
    <w:pPr>
      <w:tabs>
        <w:tab w:val="center" w:pos="4536"/>
        <w:tab w:val="right" w:pos="9072"/>
      </w:tabs>
    </w:pPr>
  </w:style>
  <w:style w:type="character" w:customStyle="1" w:styleId="stBilgiChar">
    <w:name w:val="Üst Bilgi Char"/>
    <w:basedOn w:val="VarsaylanParagrafYazTipi"/>
    <w:link w:val="stBilgi"/>
    <w:uiPriority w:val="99"/>
    <w:rsid w:val="00A87FAC"/>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A87F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1148</Words>
  <Characters>6544</Characters>
  <Application>Microsoft Office Word</Application>
  <DocSecurity>0</DocSecurity>
  <Lines>54</Lines>
  <Paragraphs>15</Paragraphs>
  <ScaleCrop>false</ScaleCrop>
  <Company/>
  <LinksUpToDate>false</LinksUpToDate>
  <CharactersWithSpaces>7677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2020-06-16T14:32:00Z</dcterms:created>
  <dcterms:modified xsi:type="dcterms:W3CDTF">2020-06-16T14:32:00Z</dcterms:modified>
</cp:coreProperties>
</file>