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3E" w:rsidRDefault="00D2783E" w:rsidP="00D2783E">
      <w:pPr>
        <w:overflowPunct w:val="0"/>
        <w:autoSpaceDE w:val="0"/>
        <w:autoSpaceDN w:val="0"/>
        <w:spacing w:after="200"/>
        <w:ind w:right="283"/>
        <w:jc w:val="center"/>
        <w:rPr>
          <w:b/>
          <w:bCs/>
          <w:caps/>
          <w:color w:val="010000"/>
          <w:szCs w:val="30"/>
        </w:rPr>
      </w:pPr>
      <w:r w:rsidRPr="00D2783E">
        <w:rPr>
          <w:b/>
          <w:bCs/>
          <w:caps/>
          <w:color w:val="010000"/>
          <w:szCs w:val="19"/>
        </w:rPr>
        <w:t xml:space="preserve"> </w:t>
      </w:r>
      <w:r w:rsidRPr="00D2783E">
        <w:rPr>
          <w:b/>
          <w:bCs/>
          <w:caps/>
          <w:color w:val="010000"/>
          <w:szCs w:val="30"/>
        </w:rPr>
        <w:t xml:space="preserve">ANAYASA MAHKEMESİ KARARI </w:t>
      </w:r>
    </w:p>
    <w:p w:rsidR="00D2783E" w:rsidRPr="00D2783E" w:rsidRDefault="00D2783E" w:rsidP="00D2783E">
      <w:pPr>
        <w:overflowPunct w:val="0"/>
        <w:autoSpaceDE w:val="0"/>
        <w:autoSpaceDN w:val="0"/>
        <w:spacing w:after="200"/>
        <w:ind w:right="283" w:firstLine="709"/>
        <w:jc w:val="center"/>
        <w:rPr>
          <w:b/>
          <w:caps/>
          <w:color w:val="010000"/>
          <w:szCs w:val="30"/>
        </w:rPr>
      </w:pPr>
    </w:p>
    <w:p w:rsidR="00D2783E" w:rsidRDefault="00D2783E" w:rsidP="00D2783E">
      <w:pPr>
        <w:overflowPunct w:val="0"/>
        <w:autoSpaceDE w:val="0"/>
        <w:autoSpaceDN w:val="0"/>
        <w:rPr>
          <w:b/>
          <w:bCs/>
          <w:color w:val="010000"/>
          <w:szCs w:val="22"/>
        </w:rPr>
      </w:pPr>
      <w:r>
        <w:rPr>
          <w:b/>
          <w:bCs/>
          <w:color w:val="010000"/>
          <w:szCs w:val="22"/>
        </w:rPr>
        <w:t>Esas Sayısı:2008/47(Siyasi Parti Mali Denetimi)</w:t>
      </w:r>
    </w:p>
    <w:p w:rsidR="00D2783E" w:rsidRDefault="00D2783E" w:rsidP="00D2783E">
      <w:pPr>
        <w:overflowPunct w:val="0"/>
        <w:autoSpaceDE w:val="0"/>
        <w:autoSpaceDN w:val="0"/>
        <w:rPr>
          <w:b/>
          <w:color w:val="010000"/>
          <w:szCs w:val="22"/>
        </w:rPr>
      </w:pPr>
      <w:r>
        <w:rPr>
          <w:b/>
          <w:color w:val="010000"/>
          <w:szCs w:val="22"/>
        </w:rPr>
        <w:t>Karar Sayısı:2015/20</w:t>
      </w:r>
    </w:p>
    <w:p w:rsidR="00D2783E" w:rsidRDefault="00D2783E" w:rsidP="00D2783E">
      <w:pPr>
        <w:overflowPunct w:val="0"/>
        <w:autoSpaceDE w:val="0"/>
        <w:autoSpaceDN w:val="0"/>
        <w:rPr>
          <w:b/>
          <w:color w:val="010000"/>
          <w:szCs w:val="22"/>
        </w:rPr>
      </w:pPr>
      <w:r>
        <w:rPr>
          <w:b/>
          <w:color w:val="010000"/>
          <w:szCs w:val="22"/>
        </w:rPr>
        <w:t>Karar Tarihi:1.7.2015</w:t>
      </w:r>
    </w:p>
    <w:p w:rsidR="00D2783E" w:rsidRDefault="00D2783E" w:rsidP="00D2783E">
      <w:pPr>
        <w:overflowPunct w:val="0"/>
        <w:autoSpaceDE w:val="0"/>
        <w:autoSpaceDN w:val="0"/>
        <w:rPr>
          <w:b/>
          <w:color w:val="010000"/>
          <w:szCs w:val="22"/>
        </w:rPr>
      </w:pPr>
      <w:r>
        <w:rPr>
          <w:b/>
          <w:color w:val="010000"/>
          <w:szCs w:val="22"/>
        </w:rPr>
        <w:t>R.G. Tarih-Sayı:16.10.2015-29504</w:t>
      </w:r>
    </w:p>
    <w:p w:rsidR="00D2783E" w:rsidRPr="00D2783E" w:rsidRDefault="00D2783E" w:rsidP="00D2783E">
      <w:pPr>
        <w:overflowPunct w:val="0"/>
        <w:autoSpaceDE w:val="0"/>
        <w:autoSpaceDN w:val="0"/>
        <w:rPr>
          <w:b/>
          <w:color w:val="010000"/>
          <w:szCs w:val="22"/>
        </w:rPr>
      </w:pPr>
    </w:p>
    <w:p w:rsidR="00D2783E" w:rsidRPr="00D2783E" w:rsidRDefault="00D2783E" w:rsidP="00D2783E">
      <w:pPr>
        <w:overflowPunct w:val="0"/>
        <w:autoSpaceDE w:val="0"/>
        <w:autoSpaceDN w:val="0"/>
        <w:spacing w:after="200"/>
        <w:ind w:right="283" w:firstLine="709"/>
        <w:jc w:val="both"/>
        <w:rPr>
          <w:color w:val="010000"/>
          <w:szCs w:val="22"/>
        </w:rPr>
      </w:pPr>
      <w:r w:rsidRPr="00D2783E">
        <w:rPr>
          <w:b/>
          <w:bCs/>
          <w:color w:val="010000"/>
          <w:szCs w:val="22"/>
        </w:rPr>
        <w:t>I- MALİ DENETİMİN KONUSU</w:t>
      </w:r>
      <w:r w:rsidRPr="00D2783E">
        <w:rPr>
          <w:color w:val="010000"/>
          <w:szCs w:val="22"/>
        </w:rPr>
        <w:t xml:space="preserve"> </w:t>
      </w:r>
    </w:p>
    <w:p w:rsidR="00D2783E" w:rsidRPr="00D2783E" w:rsidRDefault="00D2783E" w:rsidP="00D2783E">
      <w:pPr>
        <w:overflowPunct w:val="0"/>
        <w:autoSpaceDE w:val="0"/>
        <w:autoSpaceDN w:val="0"/>
        <w:spacing w:after="200"/>
        <w:ind w:right="283" w:firstLine="709"/>
        <w:jc w:val="both"/>
        <w:rPr>
          <w:color w:val="010000"/>
          <w:szCs w:val="19"/>
        </w:rPr>
      </w:pPr>
      <w:r w:rsidRPr="00D2783E">
        <w:rPr>
          <w:color w:val="010000"/>
          <w:szCs w:val="19"/>
        </w:rPr>
        <w:t>Güçlü Türkiye Partisi 2007 yılı kesin hesabının incelenmesidir.</w:t>
      </w:r>
    </w:p>
    <w:p w:rsidR="00D2783E" w:rsidRPr="00D2783E" w:rsidRDefault="00D2783E" w:rsidP="00D2783E">
      <w:pPr>
        <w:overflowPunct w:val="0"/>
        <w:autoSpaceDE w:val="0"/>
        <w:autoSpaceDN w:val="0"/>
        <w:spacing w:after="200"/>
        <w:ind w:right="283" w:firstLine="709"/>
        <w:jc w:val="both"/>
        <w:rPr>
          <w:color w:val="010000"/>
          <w:szCs w:val="19"/>
        </w:rPr>
      </w:pPr>
      <w:r w:rsidRPr="00D2783E">
        <w:rPr>
          <w:color w:val="010000"/>
          <w:szCs w:val="19"/>
        </w:rPr>
        <w:t>Güçlü Türkiye Partisi, 21.12.2013 tarihli 3. olağan genel kongresinde fesih kararı almıştır.</w:t>
      </w:r>
      <w:r w:rsidRPr="00D2783E">
        <w:rPr>
          <w:color w:val="010000"/>
          <w:szCs w:val="19"/>
        </w:rPr>
        <w:t xml:space="preserve"> </w:t>
      </w:r>
    </w:p>
    <w:p w:rsidR="00D2783E" w:rsidRPr="00D2783E" w:rsidRDefault="00D2783E" w:rsidP="00D2783E">
      <w:pPr>
        <w:overflowPunct w:val="0"/>
        <w:autoSpaceDE w:val="0"/>
        <w:autoSpaceDN w:val="0"/>
        <w:spacing w:after="200"/>
        <w:ind w:right="283" w:firstLine="709"/>
        <w:jc w:val="both"/>
        <w:rPr>
          <w:color w:val="010000"/>
          <w:szCs w:val="22"/>
        </w:rPr>
      </w:pPr>
      <w:r w:rsidRPr="00D2783E">
        <w:rPr>
          <w:b/>
          <w:bCs/>
          <w:color w:val="010000"/>
          <w:szCs w:val="22"/>
        </w:rPr>
        <w:t>II- İLK İNCELEME</w:t>
      </w:r>
    </w:p>
    <w:p w:rsidR="00D2783E" w:rsidRPr="00D2783E" w:rsidRDefault="00D2783E" w:rsidP="00D2783E">
      <w:pPr>
        <w:spacing w:after="200"/>
        <w:ind w:right="283" w:firstLine="709"/>
        <w:jc w:val="both"/>
        <w:rPr>
          <w:color w:val="010000"/>
          <w:szCs w:val="19"/>
          <w:lang w:eastAsia="en-US"/>
        </w:rPr>
      </w:pPr>
      <w:r w:rsidRPr="00D2783E">
        <w:rPr>
          <w:color w:val="010000"/>
          <w:szCs w:val="19"/>
        </w:rPr>
        <w:t xml:space="preserve">1. Anayasa Mahkemesi İçtüzüğü hükümleri uyarınca Haşim KILIÇ, </w:t>
      </w:r>
      <w:proofErr w:type="spellStart"/>
      <w:r w:rsidRPr="00D2783E">
        <w:rPr>
          <w:color w:val="010000"/>
          <w:szCs w:val="19"/>
        </w:rPr>
        <w:t>Sacit</w:t>
      </w:r>
      <w:proofErr w:type="spellEnd"/>
      <w:r w:rsidRPr="00D2783E">
        <w:rPr>
          <w:color w:val="010000"/>
          <w:szCs w:val="19"/>
        </w:rPr>
        <w:t xml:space="preserve"> ADALI, Fulya KANTARCIOĞLU, Ahmet AKYALÇIN, Mehmet ERTEN, Mustafa YILDIRIM, A. Necmi ÖZLER, Serdar ÖZGÜLDÜR, Şevket APALAK, </w:t>
      </w:r>
      <w:proofErr w:type="spellStart"/>
      <w:r w:rsidRPr="00D2783E">
        <w:rPr>
          <w:color w:val="010000"/>
          <w:szCs w:val="19"/>
        </w:rPr>
        <w:t>Serruh</w:t>
      </w:r>
      <w:proofErr w:type="spellEnd"/>
      <w:r w:rsidRPr="00D2783E">
        <w:rPr>
          <w:color w:val="010000"/>
          <w:szCs w:val="19"/>
        </w:rPr>
        <w:t xml:space="preserve"> KALELİ ve Zehra Ayla </w:t>
      </w:r>
      <w:proofErr w:type="spellStart"/>
      <w:r w:rsidRPr="00D2783E">
        <w:rPr>
          <w:color w:val="010000"/>
          <w:szCs w:val="19"/>
        </w:rPr>
        <w:t>PERKTAŞ’ın</w:t>
      </w:r>
      <w:proofErr w:type="spellEnd"/>
      <w:r w:rsidRPr="00D2783E">
        <w:rPr>
          <w:color w:val="010000"/>
          <w:szCs w:val="19"/>
        </w:rPr>
        <w:t xml:space="preserve"> katılımlarıyla 16.7.2009 tarihinde yapılan ilk inceleme toplantısında; </w:t>
      </w:r>
    </w:p>
    <w:p w:rsidR="00D2783E" w:rsidRPr="00D2783E" w:rsidRDefault="00D2783E" w:rsidP="00D2783E">
      <w:pPr>
        <w:spacing w:after="200"/>
        <w:ind w:right="283" w:firstLine="709"/>
        <w:jc w:val="both"/>
        <w:rPr>
          <w:color w:val="010000"/>
          <w:szCs w:val="19"/>
        </w:rPr>
      </w:pPr>
      <w:r w:rsidRPr="00D2783E">
        <w:rPr>
          <w:color w:val="010000"/>
          <w:szCs w:val="19"/>
        </w:rPr>
        <w:t>2. Güçlü Türkiye Partisinin 2007 yılı kesin hesabının incelenmesi sonucunda;</w:t>
      </w:r>
    </w:p>
    <w:p w:rsidR="00D2783E" w:rsidRPr="00D2783E" w:rsidRDefault="00D2783E" w:rsidP="00D2783E">
      <w:pPr>
        <w:pStyle w:val="GvdeMetniGirintisi2"/>
        <w:spacing w:after="200"/>
        <w:ind w:left="0" w:right="283" w:firstLine="709"/>
        <w:jc w:val="both"/>
        <w:rPr>
          <w:rFonts w:ascii="Times New Roman" w:hAnsi="Times New Roman" w:cs="Times New Roman"/>
          <w:color w:val="010000"/>
          <w:szCs w:val="19"/>
        </w:rPr>
      </w:pPr>
      <w:r w:rsidRPr="00D2783E">
        <w:rPr>
          <w:rFonts w:ascii="Times New Roman" w:hAnsi="Times New Roman" w:cs="Times New Roman"/>
          <w:b/>
          <w:color w:val="010000"/>
          <w:szCs w:val="19"/>
        </w:rPr>
        <w:t>1-</w:t>
      </w:r>
      <w:r w:rsidRPr="00D2783E">
        <w:rPr>
          <w:rFonts w:ascii="Times New Roman" w:hAnsi="Times New Roman" w:cs="Times New Roman"/>
          <w:color w:val="010000"/>
          <w:szCs w:val="19"/>
        </w:rPr>
        <w:t xml:space="preserve"> 2007 yılı kesin hesabının 2008 yılı </w:t>
      </w:r>
      <w:proofErr w:type="gramStart"/>
      <w:r w:rsidRPr="00D2783E">
        <w:rPr>
          <w:rFonts w:ascii="Times New Roman" w:hAnsi="Times New Roman" w:cs="Times New Roman"/>
          <w:color w:val="010000"/>
          <w:szCs w:val="19"/>
        </w:rPr>
        <w:t>Haziran</w:t>
      </w:r>
      <w:proofErr w:type="gramEnd"/>
      <w:r w:rsidRPr="00D2783E">
        <w:rPr>
          <w:rFonts w:ascii="Times New Roman" w:hAnsi="Times New Roman" w:cs="Times New Roman"/>
          <w:color w:val="010000"/>
          <w:szCs w:val="19"/>
        </w:rPr>
        <w:t xml:space="preserve"> ayı sonuna kadar Anayasa Mahkemesine verilmesi gerekirken 18.8.2008 tarihinde verilmesi nedeniyle Parti kesin hesabını yasal süresinde vermeyerek 2820 sayılı Yasa’nın 74. maddesi hükümlerine aykırı hareket eden Parti sorumluları hakkında yasal işlem yapılabilmesi için Ankara Cumhuriyet Başsavcılığına suç duyurusunda bulunulmasına,</w:t>
      </w:r>
    </w:p>
    <w:p w:rsidR="00D2783E" w:rsidRPr="00D2783E" w:rsidRDefault="00D2783E" w:rsidP="00D2783E">
      <w:pPr>
        <w:spacing w:after="200"/>
        <w:ind w:right="283" w:firstLine="709"/>
        <w:jc w:val="both"/>
        <w:rPr>
          <w:color w:val="010000"/>
          <w:szCs w:val="19"/>
        </w:rPr>
      </w:pPr>
      <w:r w:rsidRPr="00D2783E">
        <w:rPr>
          <w:b/>
          <w:color w:val="010000"/>
          <w:szCs w:val="19"/>
        </w:rPr>
        <w:t xml:space="preserve">2- </w:t>
      </w:r>
      <w:r w:rsidRPr="00D2783E">
        <w:rPr>
          <w:color w:val="010000"/>
          <w:szCs w:val="19"/>
        </w:rPr>
        <w:t>2820 sayılı Siyasi Partiler Kanunu’nun 73. ve 74. maddelerine göre düzenlenerek Anayasa Mahkemesine verilmesi gereken,</w:t>
      </w:r>
    </w:p>
    <w:p w:rsidR="00D2783E" w:rsidRPr="00D2783E" w:rsidRDefault="00D2783E" w:rsidP="00D2783E">
      <w:pPr>
        <w:pStyle w:val="GvdeMetniGirintisi2"/>
        <w:spacing w:after="200"/>
        <w:ind w:left="0" w:right="283" w:firstLine="709"/>
        <w:jc w:val="both"/>
        <w:rPr>
          <w:rFonts w:ascii="Times New Roman" w:hAnsi="Times New Roman" w:cs="Times New Roman"/>
          <w:color w:val="010000"/>
          <w:szCs w:val="19"/>
        </w:rPr>
      </w:pPr>
      <w:r w:rsidRPr="00D2783E">
        <w:rPr>
          <w:rFonts w:ascii="Times New Roman" w:hAnsi="Times New Roman" w:cs="Times New Roman"/>
          <w:b/>
          <w:color w:val="010000"/>
          <w:szCs w:val="19"/>
        </w:rPr>
        <w:t>a)</w:t>
      </w:r>
      <w:r w:rsidRPr="00D2783E">
        <w:rPr>
          <w:rFonts w:ascii="Times New Roman" w:hAnsi="Times New Roman" w:cs="Times New Roman"/>
          <w:color w:val="010000"/>
          <w:szCs w:val="19"/>
        </w:rPr>
        <w:t xml:space="preserve"> 2007 yılı kesin hesabının onaylı örneğinin;</w:t>
      </w:r>
    </w:p>
    <w:p w:rsidR="00D2783E" w:rsidRPr="00D2783E" w:rsidRDefault="00D2783E" w:rsidP="00D2783E">
      <w:pPr>
        <w:pStyle w:val="GvdeMetniGirintisi2"/>
        <w:spacing w:after="200"/>
        <w:ind w:left="0" w:right="283" w:firstLine="709"/>
        <w:jc w:val="both"/>
        <w:rPr>
          <w:rFonts w:ascii="Times New Roman" w:hAnsi="Times New Roman" w:cs="Times New Roman"/>
          <w:color w:val="010000"/>
          <w:szCs w:val="19"/>
        </w:rPr>
      </w:pPr>
      <w:r w:rsidRPr="00D2783E">
        <w:rPr>
          <w:rFonts w:ascii="Times New Roman" w:hAnsi="Times New Roman" w:cs="Times New Roman"/>
          <w:b/>
          <w:color w:val="010000"/>
          <w:szCs w:val="19"/>
        </w:rPr>
        <w:t xml:space="preserve">b) </w:t>
      </w:r>
      <w:r w:rsidRPr="00D2783E">
        <w:rPr>
          <w:rFonts w:ascii="Times New Roman" w:hAnsi="Times New Roman" w:cs="Times New Roman"/>
          <w:color w:val="010000"/>
          <w:szCs w:val="19"/>
        </w:rPr>
        <w:t>Partinin 2007 yılı kesin hesabının incelenerek karara bağlanıp onaylandığına dair, Parti</w:t>
      </w:r>
      <w:r w:rsidRPr="00D2783E">
        <w:rPr>
          <w:rFonts w:ascii="Times New Roman" w:hAnsi="Times New Roman" w:cs="Times New Roman"/>
          <w:b/>
          <w:color w:val="010000"/>
          <w:szCs w:val="19"/>
        </w:rPr>
        <w:t xml:space="preserve"> </w:t>
      </w:r>
      <w:r w:rsidRPr="00D2783E">
        <w:rPr>
          <w:rFonts w:ascii="Times New Roman" w:hAnsi="Times New Roman" w:cs="Times New Roman"/>
          <w:color w:val="010000"/>
          <w:szCs w:val="19"/>
        </w:rPr>
        <w:t>Merkez Karar ve Yönetim Kurulu Kararı’nın onaylı örneğinin;</w:t>
      </w:r>
    </w:p>
    <w:p w:rsidR="00D2783E" w:rsidRPr="00D2783E" w:rsidRDefault="00D2783E" w:rsidP="00D2783E">
      <w:pPr>
        <w:pStyle w:val="GvdeMetniGirintisi2"/>
        <w:spacing w:after="200"/>
        <w:ind w:left="0" w:right="283" w:firstLine="709"/>
        <w:jc w:val="both"/>
        <w:rPr>
          <w:rFonts w:ascii="Times New Roman" w:hAnsi="Times New Roman" w:cs="Times New Roman"/>
          <w:color w:val="010000"/>
          <w:szCs w:val="19"/>
        </w:rPr>
      </w:pPr>
      <w:r w:rsidRPr="00D2783E">
        <w:rPr>
          <w:rFonts w:ascii="Times New Roman" w:hAnsi="Times New Roman" w:cs="Times New Roman"/>
          <w:b/>
          <w:color w:val="010000"/>
          <w:szCs w:val="19"/>
        </w:rPr>
        <w:t xml:space="preserve">c) </w:t>
      </w:r>
      <w:r w:rsidRPr="00D2783E">
        <w:rPr>
          <w:rFonts w:ascii="Times New Roman" w:hAnsi="Times New Roman" w:cs="Times New Roman"/>
          <w:color w:val="010000"/>
          <w:szCs w:val="19"/>
        </w:rPr>
        <w:t xml:space="preserve">Partinin 2007 yılında varsa edindiği taşınmaz ve değeri yüz </w:t>
      </w:r>
      <w:proofErr w:type="spellStart"/>
      <w:r w:rsidRPr="00D2783E">
        <w:rPr>
          <w:rFonts w:ascii="Times New Roman" w:hAnsi="Times New Roman" w:cs="Times New Roman"/>
          <w:color w:val="010000"/>
          <w:szCs w:val="19"/>
        </w:rPr>
        <w:t>YTL.sını</w:t>
      </w:r>
      <w:proofErr w:type="spellEnd"/>
      <w:r w:rsidRPr="00D2783E">
        <w:rPr>
          <w:rFonts w:ascii="Times New Roman" w:hAnsi="Times New Roman" w:cs="Times New Roman"/>
          <w:color w:val="010000"/>
          <w:szCs w:val="19"/>
        </w:rPr>
        <w:t xml:space="preserve"> aşan taşınır malların, menkul kıymetlerin ve her türlü hakların değerleri ile edinim tarihlerini ve şekillerini belirten listenin, böyle bir edinim yoksa, olmadığına dair yazının,</w:t>
      </w:r>
    </w:p>
    <w:p w:rsidR="00D2783E" w:rsidRPr="00D2783E" w:rsidRDefault="00D2783E" w:rsidP="00D2783E">
      <w:pPr>
        <w:spacing w:after="200"/>
        <w:ind w:right="283" w:firstLine="709"/>
        <w:jc w:val="both"/>
        <w:rPr>
          <w:color w:val="010000"/>
          <w:szCs w:val="19"/>
        </w:rPr>
      </w:pPr>
      <w:r w:rsidRPr="00D2783E">
        <w:rPr>
          <w:b/>
          <w:color w:val="010000"/>
          <w:szCs w:val="19"/>
        </w:rPr>
        <w:t xml:space="preserve">d) </w:t>
      </w:r>
      <w:r w:rsidRPr="00D2783E">
        <w:rPr>
          <w:color w:val="010000"/>
          <w:szCs w:val="19"/>
        </w:rPr>
        <w:t>Yargıtay Cumhuriyet Başsavcılığı kayıtlarına göre 2007 yılında genel merkez dışında 27 il de örgütlendiği anlaşılan, ancak 2007 yılında il örgütlerinin gelir ve giderinin olmadığı belirtilen Partinin; il örgütlerinin faaliyetlerine ilişkin giderlerin nasıl ve ne şekilde karşılandığı ile genel merkez ve il örgütlerinin faaliyet gösterdikleri yerler, bu yerlerin mülkiyetinin kimlere ait olduğu ve hangi koşullarla yararlanıldığına ilişkin kanıtlayıcı belgeleri içeren yazının;</w:t>
      </w:r>
    </w:p>
    <w:p w:rsidR="00D2783E" w:rsidRPr="00D2783E" w:rsidRDefault="00D2783E" w:rsidP="00D2783E">
      <w:pPr>
        <w:spacing w:after="200"/>
        <w:ind w:right="283" w:firstLine="709"/>
        <w:jc w:val="both"/>
        <w:rPr>
          <w:b/>
          <w:color w:val="010000"/>
          <w:szCs w:val="19"/>
        </w:rPr>
      </w:pPr>
      <w:r w:rsidRPr="00D2783E">
        <w:rPr>
          <w:b/>
          <w:color w:val="010000"/>
          <w:szCs w:val="19"/>
        </w:rPr>
        <w:t xml:space="preserve">e) </w:t>
      </w:r>
      <w:r w:rsidRPr="00D2783E">
        <w:rPr>
          <w:color w:val="010000"/>
          <w:szCs w:val="19"/>
        </w:rPr>
        <w:t>2820 sayılı Yasa’nın 8. maddesinde siyasi partilerin Genel Merkezlerinin Ankara’da bulunması öngörüldüğü halde, Parti Genel Merkezi olarak bildirilen adrese yapılan tebligatların adresin boş olması nedeniyle geri dönmesinin ve Partinin parti mühürlü kesin hesap belgelerinde İstanbul adresi kullanılmasının nedenlerini açıklayan yazının,</w:t>
      </w:r>
    </w:p>
    <w:p w:rsidR="00D2783E" w:rsidRPr="00D2783E" w:rsidRDefault="00D2783E" w:rsidP="00D2783E">
      <w:pPr>
        <w:spacing w:after="200"/>
        <w:ind w:right="283" w:firstLine="709"/>
        <w:jc w:val="both"/>
        <w:rPr>
          <w:color w:val="010000"/>
          <w:szCs w:val="19"/>
        </w:rPr>
      </w:pPr>
      <w:r w:rsidRPr="00D2783E">
        <w:rPr>
          <w:color w:val="010000"/>
          <w:szCs w:val="19"/>
        </w:rPr>
        <w:lastRenderedPageBreak/>
        <w:t>3.</w:t>
      </w:r>
      <w:r w:rsidRPr="00D2783E">
        <w:rPr>
          <w:b/>
          <w:color w:val="010000"/>
          <w:szCs w:val="19"/>
        </w:rPr>
        <w:t xml:space="preserve"> </w:t>
      </w:r>
      <w:r w:rsidRPr="00D2783E">
        <w:rPr>
          <w:color w:val="010000"/>
          <w:szCs w:val="19"/>
        </w:rPr>
        <w:t xml:space="preserve">Anayasa Mahkemesine verilmesi için Anayasa Mahkemesi </w:t>
      </w:r>
      <w:proofErr w:type="spellStart"/>
      <w:r w:rsidRPr="00D2783E">
        <w:rPr>
          <w:color w:val="010000"/>
          <w:szCs w:val="19"/>
        </w:rPr>
        <w:t>İçtüzüğü’nün</w:t>
      </w:r>
      <w:proofErr w:type="spellEnd"/>
      <w:r w:rsidRPr="00D2783E">
        <w:rPr>
          <w:color w:val="010000"/>
          <w:szCs w:val="19"/>
        </w:rPr>
        <w:t xml:space="preserve"> 16. maddesi uyarınca Partiye 30 gün süre verilmesine,</w:t>
      </w:r>
    </w:p>
    <w:p w:rsidR="00D2783E" w:rsidRPr="00D2783E" w:rsidRDefault="00D2783E" w:rsidP="00D2783E">
      <w:pPr>
        <w:spacing w:after="200"/>
        <w:ind w:right="283" w:firstLine="709"/>
        <w:jc w:val="both"/>
        <w:rPr>
          <w:color w:val="010000"/>
          <w:szCs w:val="19"/>
        </w:rPr>
      </w:pPr>
      <w:r w:rsidRPr="00D2783E">
        <w:rPr>
          <w:color w:val="010000"/>
          <w:szCs w:val="19"/>
        </w:rPr>
        <w:t>4. Gerekli bildirimin yapılması için karar örneğinin Yargıtay Cumhuriyet Başsavcılığına gönderilmesine OYBİRLİĞİYLE karar verilmiştir.</w:t>
      </w:r>
      <w:r w:rsidRPr="00D2783E">
        <w:rPr>
          <w:color w:val="010000"/>
          <w:szCs w:val="19"/>
        </w:rPr>
        <w:t xml:space="preserve"> </w:t>
      </w:r>
    </w:p>
    <w:p w:rsidR="00D2783E" w:rsidRPr="00D2783E" w:rsidRDefault="00D2783E" w:rsidP="00D2783E">
      <w:pPr>
        <w:spacing w:after="200"/>
        <w:ind w:right="283" w:firstLine="709"/>
        <w:jc w:val="both"/>
        <w:rPr>
          <w:color w:val="010000"/>
          <w:szCs w:val="19"/>
        </w:rPr>
      </w:pPr>
      <w:r w:rsidRPr="00D2783E">
        <w:rPr>
          <w:color w:val="010000"/>
          <w:szCs w:val="19"/>
        </w:rPr>
        <w:t>5. Anayasa Mahkemesinin ilk inceleme sonucu verilen kararı Parti adresinin boş olması sebebiyle Partiye tebliğ edilememiştir.</w:t>
      </w:r>
    </w:p>
    <w:p w:rsidR="00D2783E" w:rsidRPr="00D2783E" w:rsidRDefault="00D2783E" w:rsidP="00D2783E">
      <w:pPr>
        <w:spacing w:after="200"/>
        <w:ind w:right="283" w:firstLine="709"/>
        <w:jc w:val="both"/>
        <w:rPr>
          <w:b/>
          <w:color w:val="010000"/>
          <w:szCs w:val="22"/>
        </w:rPr>
      </w:pPr>
      <w:r w:rsidRPr="00D2783E">
        <w:rPr>
          <w:b/>
          <w:color w:val="010000"/>
          <w:szCs w:val="22"/>
        </w:rPr>
        <w:t>III- SONUÇ</w:t>
      </w:r>
    </w:p>
    <w:p w:rsidR="00D2783E" w:rsidRPr="00D2783E" w:rsidRDefault="00D2783E" w:rsidP="00D2783E">
      <w:pPr>
        <w:spacing w:after="200"/>
        <w:ind w:right="283" w:firstLine="709"/>
        <w:jc w:val="both"/>
        <w:rPr>
          <w:color w:val="010000"/>
          <w:szCs w:val="19"/>
        </w:rPr>
      </w:pPr>
      <w:r w:rsidRPr="00D2783E">
        <w:rPr>
          <w:color w:val="010000"/>
          <w:szCs w:val="19"/>
        </w:rPr>
        <w:t>Güçlü Türkiye Partisi 2007 yılı kesin hesabının incelenmesi sonucunda;</w:t>
      </w:r>
    </w:p>
    <w:p w:rsidR="00D2783E" w:rsidRPr="00D2783E" w:rsidRDefault="00D2783E" w:rsidP="00D2783E">
      <w:pPr>
        <w:spacing w:after="200"/>
        <w:ind w:right="283" w:firstLine="709"/>
        <w:jc w:val="both"/>
        <w:rPr>
          <w:color w:val="010000"/>
          <w:szCs w:val="19"/>
        </w:rPr>
      </w:pPr>
      <w:r w:rsidRPr="00D2783E">
        <w:rPr>
          <w:color w:val="010000"/>
          <w:szCs w:val="19"/>
        </w:rPr>
        <w:t>1- 2820 sayılı Siyasi Partiler Kanunu’nun 73. ve 74. maddelerine göre hazırlanıp, Merkez Karar ve Yönetim Kurulu tarafından onaylanması gereken kesin hesabın ve Partinin 2007 yılında edindiği taşınmaz ve değeri yüz milyon lirayı aşan taşınır malların, menkul kıymetlerin ve her türlü hakların değerleriyle edinim tarihlerini ve şekillerini gösteren listenin gönderilmemesi nedeniyle Parti hesabının denetimi gerçekleştirilemediğinden, Partinin 2007 yılı hesabının 2820 sayılı Kanun uyarınca kabul edilmesinin mümkün olmadığına,</w:t>
      </w:r>
    </w:p>
    <w:p w:rsidR="00D2783E" w:rsidRPr="00D2783E" w:rsidRDefault="00D2783E" w:rsidP="00D2783E">
      <w:pPr>
        <w:spacing w:after="200"/>
        <w:ind w:right="283" w:firstLine="709"/>
        <w:jc w:val="both"/>
        <w:rPr>
          <w:color w:val="010000"/>
          <w:szCs w:val="19"/>
        </w:rPr>
      </w:pPr>
      <w:r w:rsidRPr="00D2783E">
        <w:rPr>
          <w:color w:val="010000"/>
          <w:szCs w:val="19"/>
        </w:rPr>
        <w:t>2- Mahkemeye hesap verilebilir şekilde kayıt ve belge düzeninin oluşturulmaması nedeniyle 2820 sayılı Kanun’un 111. maddesinin birinci fıkrasının (c) bendi uyarınca yasal işlem yapılması için Ankara Cumhuriyet Başsavcılığına suç duyurusunda bulunulmasına,</w:t>
      </w:r>
    </w:p>
    <w:p w:rsidR="00D2783E" w:rsidRPr="00D2783E" w:rsidRDefault="00D2783E" w:rsidP="00D2783E">
      <w:pPr>
        <w:spacing w:after="200"/>
        <w:ind w:right="283" w:firstLine="709"/>
        <w:jc w:val="both"/>
        <w:rPr>
          <w:color w:val="010000"/>
          <w:szCs w:val="19"/>
        </w:rPr>
      </w:pPr>
      <w:r w:rsidRPr="00D2783E">
        <w:rPr>
          <w:color w:val="010000"/>
          <w:szCs w:val="19"/>
        </w:rPr>
        <w:t xml:space="preserve">Osman </w:t>
      </w:r>
      <w:proofErr w:type="spellStart"/>
      <w:r w:rsidRPr="00D2783E">
        <w:rPr>
          <w:color w:val="010000"/>
          <w:szCs w:val="19"/>
        </w:rPr>
        <w:t>Alifeyyaz</w:t>
      </w:r>
      <w:proofErr w:type="spellEnd"/>
      <w:r w:rsidRPr="00D2783E">
        <w:rPr>
          <w:color w:val="010000"/>
          <w:szCs w:val="19"/>
        </w:rPr>
        <w:t xml:space="preserve"> </w:t>
      </w:r>
      <w:proofErr w:type="spellStart"/>
      <w:r w:rsidRPr="00D2783E">
        <w:rPr>
          <w:color w:val="010000"/>
          <w:szCs w:val="19"/>
        </w:rPr>
        <w:t>PAKSÜT’ün</w:t>
      </w:r>
      <w:proofErr w:type="spellEnd"/>
      <w:r w:rsidRPr="00D2783E">
        <w:rPr>
          <w:color w:val="010000"/>
          <w:szCs w:val="19"/>
        </w:rPr>
        <w:t xml:space="preserve"> </w:t>
      </w:r>
      <w:proofErr w:type="spellStart"/>
      <w:r w:rsidRPr="00D2783E">
        <w:rPr>
          <w:color w:val="010000"/>
          <w:szCs w:val="19"/>
        </w:rPr>
        <w:t>karşıoyu</w:t>
      </w:r>
      <w:proofErr w:type="spellEnd"/>
      <w:r w:rsidRPr="00D2783E">
        <w:rPr>
          <w:color w:val="010000"/>
          <w:szCs w:val="19"/>
        </w:rPr>
        <w:t xml:space="preserve"> ve OYÇOKLUĞUYLA, 1.7.2015 tarihinde karar verildi.</w:t>
      </w:r>
    </w:p>
    <w:p w:rsidR="00D2783E" w:rsidRDefault="00D2783E"/>
    <w:tbl>
      <w:tblPr>
        <w:tblW w:w="5000" w:type="pct"/>
        <w:jc w:val="center"/>
        <w:tblCellMar>
          <w:left w:w="70" w:type="dxa"/>
          <w:right w:w="70" w:type="dxa"/>
        </w:tblCellMar>
        <w:tblLook w:val="04A0" w:firstRow="1" w:lastRow="0" w:firstColumn="1" w:lastColumn="0" w:noHBand="0" w:noVBand="1"/>
      </w:tblPr>
      <w:tblGrid>
        <w:gridCol w:w="3544"/>
        <w:gridCol w:w="2954"/>
        <w:gridCol w:w="3282"/>
      </w:tblGrid>
      <w:tr w:rsidR="00D2783E" w:rsidRPr="00D2783E" w:rsidTr="00D2783E">
        <w:trPr>
          <w:jc w:val="center"/>
        </w:trPr>
        <w:tc>
          <w:tcPr>
            <w:tcW w:w="1812" w:type="pct"/>
          </w:tcPr>
          <w:p w:rsidR="00D2783E" w:rsidRPr="00D2783E" w:rsidRDefault="00D2783E" w:rsidP="00D2783E">
            <w:pPr>
              <w:spacing w:before="240" w:after="240"/>
              <w:jc w:val="center"/>
              <w:rPr>
                <w:color w:val="010000"/>
                <w:szCs w:val="19"/>
                <w:lang w:eastAsia="en-US"/>
              </w:rPr>
            </w:pPr>
            <w:r w:rsidRPr="00D2783E">
              <w:rPr>
                <w:color w:val="010000"/>
                <w:szCs w:val="19"/>
              </w:rPr>
              <w:t>Başkan</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Zühtü ARSLAN</w:t>
            </w:r>
          </w:p>
        </w:tc>
        <w:tc>
          <w:tcPr>
            <w:tcW w:w="1510" w:type="pct"/>
          </w:tcPr>
          <w:p w:rsidR="00D2783E" w:rsidRPr="00D2783E" w:rsidRDefault="00D2783E" w:rsidP="00D2783E">
            <w:pPr>
              <w:spacing w:before="240" w:after="240"/>
              <w:jc w:val="center"/>
              <w:rPr>
                <w:color w:val="010000"/>
                <w:szCs w:val="19"/>
                <w:lang w:eastAsia="en-US"/>
              </w:rPr>
            </w:pPr>
            <w:r w:rsidRPr="00D2783E">
              <w:rPr>
                <w:color w:val="010000"/>
                <w:szCs w:val="19"/>
              </w:rPr>
              <w:t>Başkanvekili</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Burhan ÜSTÜN</w:t>
            </w:r>
          </w:p>
        </w:tc>
        <w:tc>
          <w:tcPr>
            <w:tcW w:w="1678"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Serdar ÖZGÜLDÜR</w:t>
            </w:r>
          </w:p>
        </w:tc>
      </w:tr>
      <w:tr w:rsidR="00D2783E" w:rsidRPr="00D2783E" w:rsidTr="00D2783E">
        <w:trPr>
          <w:jc w:val="center"/>
        </w:trPr>
        <w:tc>
          <w:tcPr>
            <w:tcW w:w="1812"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 xml:space="preserve"> Osman </w:t>
            </w:r>
            <w:proofErr w:type="spellStart"/>
            <w:r w:rsidRPr="00D2783E">
              <w:rPr>
                <w:color w:val="010000"/>
                <w:szCs w:val="19"/>
              </w:rPr>
              <w:t>Alifeyyaz</w:t>
            </w:r>
            <w:proofErr w:type="spellEnd"/>
            <w:r w:rsidRPr="00D2783E">
              <w:rPr>
                <w:color w:val="010000"/>
                <w:szCs w:val="19"/>
              </w:rPr>
              <w:t xml:space="preserve"> PAKSÜT</w:t>
            </w:r>
          </w:p>
        </w:tc>
        <w:tc>
          <w:tcPr>
            <w:tcW w:w="1510" w:type="pct"/>
          </w:tcPr>
          <w:p w:rsidR="00D2783E" w:rsidRPr="00D2783E" w:rsidRDefault="00D2783E" w:rsidP="00D2783E">
            <w:pPr>
              <w:spacing w:before="240" w:after="240"/>
              <w:jc w:val="center"/>
              <w:rPr>
                <w:color w:val="010000"/>
                <w:szCs w:val="19"/>
                <w:lang w:eastAsia="en-US"/>
              </w:rPr>
            </w:pPr>
            <w:r w:rsidRPr="00D2783E">
              <w:rPr>
                <w:color w:val="010000"/>
                <w:szCs w:val="19"/>
              </w:rPr>
              <w:t xml:space="preserve"> 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 xml:space="preserve"> Recep KÖMÜRCÜ</w:t>
            </w:r>
          </w:p>
        </w:tc>
        <w:tc>
          <w:tcPr>
            <w:tcW w:w="1678"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Engin YILDIRIM</w:t>
            </w:r>
          </w:p>
        </w:tc>
      </w:tr>
      <w:tr w:rsidR="00D2783E" w:rsidRPr="00D2783E" w:rsidTr="00D2783E">
        <w:trPr>
          <w:jc w:val="center"/>
        </w:trPr>
        <w:tc>
          <w:tcPr>
            <w:tcW w:w="1812"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Nuri NECİPOĞLU</w:t>
            </w:r>
            <w:r w:rsidRPr="00D2783E">
              <w:rPr>
                <w:color w:val="010000"/>
                <w:szCs w:val="19"/>
              </w:rPr>
              <w:t xml:space="preserve"> </w:t>
            </w:r>
          </w:p>
        </w:tc>
        <w:tc>
          <w:tcPr>
            <w:tcW w:w="1510" w:type="pct"/>
          </w:tcPr>
          <w:p w:rsidR="00D2783E" w:rsidRPr="00D2783E" w:rsidRDefault="00D2783E" w:rsidP="00D2783E">
            <w:pPr>
              <w:spacing w:before="240" w:after="240"/>
              <w:jc w:val="center"/>
              <w:rPr>
                <w:color w:val="010000"/>
                <w:szCs w:val="19"/>
                <w:lang w:eastAsia="en-US"/>
              </w:rPr>
            </w:pPr>
            <w:r w:rsidRPr="00D2783E">
              <w:rPr>
                <w:color w:val="010000"/>
                <w:szCs w:val="19"/>
              </w:rPr>
              <w:t xml:space="preserve"> 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proofErr w:type="spellStart"/>
            <w:r w:rsidRPr="00D2783E">
              <w:rPr>
                <w:color w:val="010000"/>
                <w:szCs w:val="19"/>
              </w:rPr>
              <w:t>Hicabi</w:t>
            </w:r>
            <w:proofErr w:type="spellEnd"/>
            <w:r w:rsidRPr="00D2783E">
              <w:rPr>
                <w:color w:val="010000"/>
                <w:szCs w:val="19"/>
              </w:rPr>
              <w:t xml:space="preserve"> DURSUN</w:t>
            </w:r>
          </w:p>
        </w:tc>
        <w:tc>
          <w:tcPr>
            <w:tcW w:w="1678"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Celal Mümtaz AKINCI</w:t>
            </w:r>
          </w:p>
        </w:tc>
      </w:tr>
      <w:tr w:rsidR="00D2783E" w:rsidRPr="00D2783E" w:rsidTr="00D2783E">
        <w:trPr>
          <w:jc w:val="center"/>
        </w:trPr>
        <w:tc>
          <w:tcPr>
            <w:tcW w:w="1812"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Erdal TERCAN</w:t>
            </w:r>
          </w:p>
        </w:tc>
        <w:tc>
          <w:tcPr>
            <w:tcW w:w="1510"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Muammer TOPAL</w:t>
            </w:r>
          </w:p>
        </w:tc>
        <w:tc>
          <w:tcPr>
            <w:tcW w:w="1678"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M. Emin KUZ</w:t>
            </w:r>
          </w:p>
        </w:tc>
      </w:tr>
      <w:tr w:rsidR="00D2783E" w:rsidRPr="00D2783E" w:rsidTr="00D2783E">
        <w:trPr>
          <w:jc w:val="center"/>
        </w:trPr>
        <w:tc>
          <w:tcPr>
            <w:tcW w:w="1812"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Hasan Tahsin GÖKCAN</w:t>
            </w:r>
          </w:p>
        </w:tc>
        <w:tc>
          <w:tcPr>
            <w:tcW w:w="1510"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Kadir ÖZKAYA</w:t>
            </w:r>
          </w:p>
        </w:tc>
        <w:tc>
          <w:tcPr>
            <w:tcW w:w="1678" w:type="pct"/>
          </w:tcPr>
          <w:p w:rsidR="00D2783E" w:rsidRPr="00D2783E" w:rsidRDefault="00D2783E" w:rsidP="00D2783E">
            <w:pPr>
              <w:spacing w:before="240" w:after="240"/>
              <w:jc w:val="center"/>
              <w:rPr>
                <w:color w:val="010000"/>
                <w:szCs w:val="19"/>
                <w:lang w:eastAsia="en-US"/>
              </w:rPr>
            </w:pPr>
            <w:r w:rsidRPr="00D2783E">
              <w:rPr>
                <w:color w:val="010000"/>
                <w:szCs w:val="19"/>
              </w:rPr>
              <w:t>Üye</w:t>
            </w:r>
          </w:p>
          <w:p w:rsidR="00D2783E" w:rsidRPr="00D2783E" w:rsidRDefault="00D2783E" w:rsidP="00D2783E">
            <w:pPr>
              <w:overflowPunct w:val="0"/>
              <w:autoSpaceDE w:val="0"/>
              <w:autoSpaceDN w:val="0"/>
              <w:adjustRightInd w:val="0"/>
              <w:spacing w:before="240" w:after="240"/>
              <w:jc w:val="center"/>
              <w:rPr>
                <w:color w:val="010000"/>
                <w:szCs w:val="19"/>
                <w:lang w:eastAsia="en-US"/>
              </w:rPr>
            </w:pPr>
            <w:r w:rsidRPr="00D2783E">
              <w:rPr>
                <w:color w:val="010000"/>
                <w:szCs w:val="19"/>
              </w:rPr>
              <w:t>Rıdvan GÜLEÇ</w:t>
            </w:r>
          </w:p>
        </w:tc>
      </w:tr>
    </w:tbl>
    <w:p w:rsidR="00D2783E" w:rsidRDefault="00D2783E" w:rsidP="00D2783E">
      <w:pPr>
        <w:spacing w:after="200"/>
        <w:ind w:right="283"/>
        <w:jc w:val="both"/>
        <w:rPr>
          <w:b/>
          <w:color w:val="010000"/>
          <w:szCs w:val="22"/>
        </w:rPr>
      </w:pPr>
    </w:p>
    <w:p w:rsidR="00D2783E" w:rsidRDefault="00D2783E" w:rsidP="00D2783E">
      <w:pPr>
        <w:spacing w:after="200"/>
        <w:ind w:right="283"/>
        <w:jc w:val="both"/>
        <w:rPr>
          <w:b/>
          <w:color w:val="010000"/>
          <w:szCs w:val="22"/>
        </w:rPr>
      </w:pPr>
    </w:p>
    <w:p w:rsidR="00D2783E" w:rsidRPr="00D2783E" w:rsidRDefault="00D2783E" w:rsidP="00D2783E">
      <w:pPr>
        <w:spacing w:after="200"/>
        <w:ind w:right="283"/>
        <w:jc w:val="center"/>
        <w:rPr>
          <w:b/>
          <w:color w:val="010000"/>
          <w:szCs w:val="22"/>
        </w:rPr>
      </w:pPr>
      <w:r w:rsidRPr="00D2783E">
        <w:rPr>
          <w:b/>
          <w:color w:val="010000"/>
          <w:szCs w:val="22"/>
        </w:rPr>
        <w:t>KARŞIOY YAZISI</w:t>
      </w:r>
    </w:p>
    <w:p w:rsidR="00D2783E" w:rsidRPr="00D2783E" w:rsidRDefault="00D2783E" w:rsidP="00D2783E">
      <w:pPr>
        <w:spacing w:after="200"/>
        <w:ind w:right="283" w:firstLine="709"/>
        <w:jc w:val="both"/>
        <w:rPr>
          <w:color w:val="010000"/>
          <w:szCs w:val="19"/>
        </w:rPr>
      </w:pPr>
      <w:r w:rsidRPr="00D2783E">
        <w:rPr>
          <w:color w:val="010000"/>
          <w:szCs w:val="19"/>
        </w:rPr>
        <w:t xml:space="preserve">1. 2820 sayılı Siyasi Partiler Kanunu’nun 74. maddesinde, siyasi partilerin genel başkanlarının, karara bağlanarak birleştirilmiş bulunan kesin hesap ile parti merkez ve bağlı ilçeleri de kapsayan iller teşkilatının kesin hesaplarının onaylı birer örneğini </w:t>
      </w:r>
      <w:proofErr w:type="gramStart"/>
      <w:r w:rsidRPr="00D2783E">
        <w:rPr>
          <w:color w:val="010000"/>
          <w:szCs w:val="19"/>
        </w:rPr>
        <w:t>Haziran</w:t>
      </w:r>
      <w:proofErr w:type="gramEnd"/>
      <w:r w:rsidRPr="00D2783E">
        <w:rPr>
          <w:color w:val="010000"/>
          <w:szCs w:val="19"/>
        </w:rPr>
        <w:t xml:space="preserve"> ayı sonuna kadar Anayasa Mahkemesine vermeleri gerektiği öngörülmüştür. Aynı mahiyetteki bir hüküm 6216 sayılı Anayasa Mahkemesinin Kuruluşu ve Yargılama Usulleri Hakkında Kanun’un 55. maddesinin (2) numaralı fıkrasında yer almaktadır.</w:t>
      </w:r>
    </w:p>
    <w:p w:rsidR="00D2783E" w:rsidRPr="00D2783E" w:rsidRDefault="00D2783E" w:rsidP="00D2783E">
      <w:pPr>
        <w:spacing w:after="200"/>
        <w:ind w:right="283" w:firstLine="709"/>
        <w:jc w:val="both"/>
        <w:rPr>
          <w:color w:val="010000"/>
          <w:szCs w:val="19"/>
        </w:rPr>
      </w:pPr>
      <w:r w:rsidRPr="00D2783E">
        <w:rPr>
          <w:color w:val="010000"/>
          <w:szCs w:val="19"/>
        </w:rPr>
        <w:t>2. Anayasa Mahkemesine gelen her türlü işler gibi siyasi parti mali denetimleri de “ilk inceleme” ve “esas inceleme” aşamalarından geçerek karara bağlanmaktadır. 6216 sayılı Anayasa Mahkemesinin Kuruluşu ve Yargılama Usulleri Hakkında Kanun’un 56. maddesinde düzenlenmiş olan siyasi parti mali denetimlerinde ilk ve esas inceleme usulünde herhangi bir süre öngörülmemiştir.</w:t>
      </w:r>
      <w:r w:rsidRPr="00D2783E">
        <w:rPr>
          <w:color w:val="010000"/>
          <w:szCs w:val="19"/>
        </w:rPr>
        <w:t xml:space="preserve"> </w:t>
      </w:r>
    </w:p>
    <w:p w:rsidR="00D2783E" w:rsidRPr="00D2783E" w:rsidRDefault="00D2783E" w:rsidP="00D2783E">
      <w:pPr>
        <w:spacing w:after="200"/>
        <w:ind w:right="283" w:firstLine="709"/>
        <w:jc w:val="both"/>
        <w:rPr>
          <w:color w:val="010000"/>
          <w:szCs w:val="19"/>
        </w:rPr>
      </w:pPr>
      <w:r w:rsidRPr="00D2783E">
        <w:rPr>
          <w:color w:val="010000"/>
          <w:szCs w:val="19"/>
        </w:rPr>
        <w:t>3. Mali denetimi yapılan Partinin inceleme yılına ait hesaplarının ilk ve esas incelemeleri 1 Temmuz 2015 tarihinde tamamlanarak karara bağlanmıştır. Bu durumda, denetimi yapılan Partinin geçmiş yıllara ait mali denetimlerinin ilk ve esas incelemeleri karara bağlandığında, hesapların Anayasa Mahkemesine sunulmasından itibaren beş yıl dolmuştur.</w:t>
      </w:r>
    </w:p>
    <w:p w:rsidR="00D2783E" w:rsidRPr="00D2783E" w:rsidRDefault="00D2783E" w:rsidP="00D2783E">
      <w:pPr>
        <w:spacing w:after="200"/>
        <w:ind w:right="283" w:firstLine="709"/>
        <w:jc w:val="both"/>
        <w:rPr>
          <w:color w:val="010000"/>
          <w:szCs w:val="19"/>
        </w:rPr>
      </w:pPr>
      <w:r w:rsidRPr="00D2783E">
        <w:rPr>
          <w:color w:val="010000"/>
          <w:szCs w:val="19"/>
        </w:rPr>
        <w:t xml:space="preserve">4. Anayasada öngörülen siyasi parti mali denetimi kurumunun amaçlarına, genel hukuk ilkelerine ve korunmak istenen demokratik değerlere bakıldığında, </w:t>
      </w:r>
      <w:proofErr w:type="gramStart"/>
      <w:r w:rsidRPr="00D2783E">
        <w:rPr>
          <w:color w:val="010000"/>
          <w:szCs w:val="19"/>
        </w:rPr>
        <w:t>her hangi</w:t>
      </w:r>
      <w:proofErr w:type="gramEnd"/>
      <w:r w:rsidRPr="00D2783E">
        <w:rPr>
          <w:color w:val="010000"/>
          <w:szCs w:val="19"/>
        </w:rPr>
        <w:t xml:space="preserve"> bir Devlet katkısı da almayan partilerin mali denetimlerinin ait olduğu yıldan çok uzun zaman geçtikten sonra yapılmasının hangi üstün hukuki yarara hizmet ettiğini anlamak güçtür. Bu nedenle, büyük gecikmelerle yapılan bu tür mali denetimlerin karara bağlanması ve denetime bağlı hukuki sonuçlar çıkarılması yerine, dosyanın işlemden kaldırılmasına karar verilmesi gerekmektedir. Bu konudaki gerekçelerimiz kısmen daha önceki mali denetimlere ilişkin karşı oy yazılarımızda da açıklanmıştır (S.P.M.D., E:2009/37, K:2014/86, 30.01.2015 tarihli ve 29252 sayılı Resmî Gazete; S.P.M.D. E:2001/20, K:2009/48, 26.11.2009 tarihli Resmî Gazete). </w:t>
      </w:r>
    </w:p>
    <w:p w:rsidR="00D2783E" w:rsidRPr="00D2783E" w:rsidRDefault="00D2783E" w:rsidP="00D2783E">
      <w:pPr>
        <w:spacing w:after="200"/>
        <w:ind w:right="283" w:firstLine="709"/>
        <w:jc w:val="both"/>
        <w:rPr>
          <w:color w:val="010000"/>
          <w:szCs w:val="19"/>
        </w:rPr>
      </w:pPr>
      <w:r w:rsidRPr="00D2783E">
        <w:rPr>
          <w:color w:val="010000"/>
          <w:szCs w:val="19"/>
        </w:rPr>
        <w:t>5.</w:t>
      </w:r>
      <w:r w:rsidRPr="00D2783E">
        <w:rPr>
          <w:color w:val="010000"/>
          <w:szCs w:val="19"/>
        </w:rPr>
        <w:t xml:space="preserve"> </w:t>
      </w:r>
      <w:r w:rsidRPr="00D2783E">
        <w:rPr>
          <w:color w:val="010000"/>
          <w:szCs w:val="19"/>
        </w:rPr>
        <w:t>Konunun hukuk devletinin temel unsurlarından olan hukuk güvenliği ve adil yargılanma hakkına ilişkin boyutları bulunduğu kadar, siyasi parti özgürlüğüne yapılmış bir temel hak ihlali de söz konusu olabilecektir. Bunun nedenleri aşağıda açıklanmıştır.</w:t>
      </w:r>
    </w:p>
    <w:p w:rsidR="00D2783E" w:rsidRPr="00D2783E" w:rsidRDefault="00D2783E" w:rsidP="00D2783E">
      <w:pPr>
        <w:spacing w:after="200"/>
        <w:ind w:right="283" w:firstLine="709"/>
        <w:jc w:val="both"/>
        <w:rPr>
          <w:color w:val="010000"/>
          <w:szCs w:val="19"/>
        </w:rPr>
      </w:pPr>
      <w:r w:rsidRPr="00D2783E">
        <w:rPr>
          <w:color w:val="010000"/>
          <w:szCs w:val="19"/>
        </w:rPr>
        <w:t xml:space="preserve">6. Anayasa’nın 2. maddesinde belirtilen hukuk devletinin temel bir öğesinin de hukuk güvenliği olduğu, Anayasa Mahkemesinin de birçok kararında vurgulanmıştır. </w:t>
      </w:r>
    </w:p>
    <w:p w:rsidR="00D2783E" w:rsidRPr="00D2783E" w:rsidRDefault="00D2783E" w:rsidP="00D2783E">
      <w:pPr>
        <w:spacing w:after="200"/>
        <w:ind w:right="283" w:firstLine="709"/>
        <w:jc w:val="both"/>
        <w:rPr>
          <w:color w:val="010000"/>
          <w:szCs w:val="19"/>
        </w:rPr>
      </w:pPr>
      <w:r w:rsidRPr="00D2783E">
        <w:rPr>
          <w:color w:val="010000"/>
          <w:szCs w:val="19"/>
        </w:rPr>
        <w:t>7. Yasaların toplum hayatında hangi işlem veya eylemleri yaptırıma bağladığı, hangi eylemlerin suç veya kabahat oluşturdukları, kasıtlı veya kusurlu olarak meydana gelen hukuka aykırılıkların hangi sonuçları doğuracağı, bu konularda hangi işlemlerin kimler tarafından yapılacağı, kusurlu eylemin ne zamana kadar soruşturulacağı ve kovuşturulacağı, yasalarda ve Anayasa ile yasaların verdiği yetkiye dayanarak gerçekleştirilmiş alt düzenlemelerde açıkça belirtilmiş olmalıdır. Aksi takdirde hukuki öngörülebilirlikten ve hukuk güvenliğinden söz edilemez.</w:t>
      </w:r>
    </w:p>
    <w:p w:rsidR="00D2783E" w:rsidRPr="00D2783E" w:rsidRDefault="00D2783E" w:rsidP="00D2783E">
      <w:pPr>
        <w:spacing w:after="200"/>
        <w:ind w:right="283" w:firstLine="709"/>
        <w:jc w:val="both"/>
        <w:rPr>
          <w:color w:val="010000"/>
          <w:szCs w:val="19"/>
        </w:rPr>
      </w:pPr>
      <w:r w:rsidRPr="00D2783E">
        <w:rPr>
          <w:color w:val="010000"/>
          <w:szCs w:val="19"/>
        </w:rPr>
        <w:t xml:space="preserve">8. Siyasi Partilerin mali denetimi, Anayasa’da, 2820 sayılı Siyasi Partiler Kanunu’nda, 6216 sayılı Anayasa Mahkemesinin Kuruluşu ve Yargılama Usulleri Hakkında Kanun’da ve Anayasa Mahkemesi </w:t>
      </w:r>
      <w:proofErr w:type="spellStart"/>
      <w:r w:rsidRPr="00D2783E">
        <w:rPr>
          <w:color w:val="010000"/>
          <w:szCs w:val="19"/>
        </w:rPr>
        <w:t>İçtüzüğü’nde</w:t>
      </w:r>
      <w:proofErr w:type="spellEnd"/>
      <w:r w:rsidRPr="00D2783E">
        <w:rPr>
          <w:color w:val="010000"/>
          <w:szCs w:val="19"/>
        </w:rPr>
        <w:t xml:space="preserve"> düzenlenmiştir. Mevzuatta, mali denetimin prosedürü hakkında ayrıntılı hükümler yer almakla birlikte, sürelerle ilgili hükümler sadece 2820 sayılı Siyasi Partiler Kanunu’nun belge saklama yükümlülüğüne ilişkin 69. ve 70. maddelerinde yer almaktadır. Buna </w:t>
      </w:r>
      <w:r w:rsidRPr="00D2783E">
        <w:rPr>
          <w:color w:val="010000"/>
          <w:szCs w:val="19"/>
        </w:rPr>
        <w:lastRenderedPageBreak/>
        <w:t>göre, siyasi partilerin gelir ve gider belgelerini saklama yükümlülüğü, Anayasa Mahkemesinin ilk inceleme kararının ilgili siyasi partiye bildirilme tarihinden itibaren beş yıldır. İptal ve itiraz davalarındakinin aksine, mali denetimlerde ilk incelemenin hangi süre içinde yapılacağı belirtilmemiştir.</w:t>
      </w:r>
    </w:p>
    <w:p w:rsidR="00D2783E" w:rsidRPr="00D2783E" w:rsidRDefault="00D2783E" w:rsidP="00D2783E">
      <w:pPr>
        <w:spacing w:after="200"/>
        <w:ind w:right="283" w:firstLine="709"/>
        <w:jc w:val="both"/>
        <w:rPr>
          <w:color w:val="010000"/>
          <w:szCs w:val="19"/>
        </w:rPr>
      </w:pPr>
      <w:r w:rsidRPr="00D2783E">
        <w:rPr>
          <w:color w:val="010000"/>
          <w:szCs w:val="19"/>
        </w:rPr>
        <w:t xml:space="preserve">Öte yandan, mevzuatta, siyasi partilerin hesaplarını, hesap yılını takip eden </w:t>
      </w:r>
      <w:proofErr w:type="gramStart"/>
      <w:r w:rsidRPr="00D2783E">
        <w:rPr>
          <w:color w:val="010000"/>
          <w:szCs w:val="19"/>
        </w:rPr>
        <w:t>Haziran</w:t>
      </w:r>
      <w:proofErr w:type="gramEnd"/>
      <w:r w:rsidRPr="00D2783E">
        <w:rPr>
          <w:color w:val="010000"/>
          <w:szCs w:val="19"/>
        </w:rPr>
        <w:t xml:space="preserve"> ayının sonuna kadar Anayasa Mahkemesine vermeleri öngörülmüş olmakla birlikte, denetimin hangi sürede karara bağlanacağı hakkında da tabiatıyla bir hüküm bulunmamaktadır. </w:t>
      </w:r>
    </w:p>
    <w:p w:rsidR="00D2783E" w:rsidRPr="00D2783E" w:rsidRDefault="00D2783E" w:rsidP="00D2783E">
      <w:pPr>
        <w:spacing w:after="200"/>
        <w:ind w:right="283" w:firstLine="709"/>
        <w:jc w:val="both"/>
        <w:rPr>
          <w:color w:val="010000"/>
          <w:szCs w:val="19"/>
        </w:rPr>
      </w:pPr>
      <w:r w:rsidRPr="00D2783E">
        <w:rPr>
          <w:color w:val="010000"/>
          <w:szCs w:val="19"/>
        </w:rPr>
        <w:t>9. Hukuk güvenliğinin gereği olan öngörülebilirlik ilkesi, kişilerin belirsiz sürelerle denetlenme ve muhtemel bir para cezasına çarptırılma tehdidi altında tutulmalarına olanak vermez. Nitekim hukukumuzda gerek vergi usul kanunu ile gerek ticaret kanunundaki hükümlerle, belge saklama ve kamu alacağından sorumlu olma konusunda kişiler lehine çeşitli güvenceler getirilmiştir ve birbirine benzer şekilde beş yıllık süreler öngörülmüştür. Ancak, siyasi partilerin mevzuatta bu tür güvenceleri bulunmamaktadır, çünkü ilk incelemenin yapılması ve esasın karara bağlanması tamamen ucu açık bir prosedüre tabi tutulmuştur.</w:t>
      </w:r>
    </w:p>
    <w:p w:rsidR="00D2783E" w:rsidRPr="00D2783E" w:rsidRDefault="00D2783E" w:rsidP="00D2783E">
      <w:pPr>
        <w:spacing w:after="200"/>
        <w:ind w:right="283" w:firstLine="709"/>
        <w:jc w:val="both"/>
        <w:rPr>
          <w:color w:val="010000"/>
          <w:szCs w:val="19"/>
        </w:rPr>
      </w:pPr>
      <w:r w:rsidRPr="00D2783E">
        <w:rPr>
          <w:color w:val="010000"/>
          <w:szCs w:val="19"/>
        </w:rPr>
        <w:t xml:space="preserve">Hukuk güvenliğine aykırı olan ve 12 Eylül 1980 askeri rejiminin ürünü olan yasadan kaynaklanan bu durumun mevzuat değişiklikleriyle </w:t>
      </w:r>
      <w:proofErr w:type="gramStart"/>
      <w:r w:rsidRPr="00D2783E">
        <w:rPr>
          <w:color w:val="010000"/>
          <w:szCs w:val="19"/>
        </w:rPr>
        <w:t>bu güne</w:t>
      </w:r>
      <w:proofErr w:type="gramEnd"/>
      <w:r w:rsidRPr="00D2783E">
        <w:rPr>
          <w:color w:val="010000"/>
          <w:szCs w:val="19"/>
        </w:rPr>
        <w:t xml:space="preserve"> kadar düzeltilmemesi karşısında, Anayasa Mahkemesinin içtihat tesis etme yoluyla siyasi parti mali denetimlerini hukuk devleti esaslarına uygun hale getirmesi mümkündü ve bu nedenle beş yıl veya daha eski yıllara ait mali denetimlerin işlemden kaldırılmasına karar verilmesi gerekirdi. Ancak bu yola da gidilmediğinden, beş yıl ve daha fazla zaman geçmiş evrak üzerinden mali denetim yapılmasına devam edilmektedir. Bu yöndeki uygulama, hukuk devleti ilkesine aykırıdır.</w:t>
      </w:r>
    </w:p>
    <w:p w:rsidR="00D2783E" w:rsidRPr="00D2783E" w:rsidRDefault="00D2783E" w:rsidP="00D2783E">
      <w:pPr>
        <w:spacing w:after="200"/>
        <w:ind w:right="283" w:firstLine="709"/>
        <w:jc w:val="both"/>
        <w:rPr>
          <w:color w:val="010000"/>
          <w:szCs w:val="19"/>
        </w:rPr>
      </w:pPr>
      <w:r w:rsidRPr="00D2783E">
        <w:rPr>
          <w:color w:val="010000"/>
          <w:szCs w:val="19"/>
        </w:rPr>
        <w:t>10.</w:t>
      </w:r>
      <w:r w:rsidRPr="00D2783E">
        <w:rPr>
          <w:color w:val="010000"/>
          <w:szCs w:val="19"/>
        </w:rPr>
        <w:t xml:space="preserve"> </w:t>
      </w:r>
      <w:r w:rsidRPr="00D2783E">
        <w:rPr>
          <w:color w:val="010000"/>
          <w:szCs w:val="19"/>
        </w:rPr>
        <w:t>Siyasi partiler, Anayasa’nın ve Avrupa İnsan Hakları Sözleşmesi’nin (AİHS) güvencesi altında olduğundan, şu hususların da belirtilmesi yerinde olur:</w:t>
      </w:r>
    </w:p>
    <w:p w:rsidR="00D2783E" w:rsidRPr="00D2783E" w:rsidRDefault="00D2783E" w:rsidP="00D2783E">
      <w:pPr>
        <w:spacing w:after="200"/>
        <w:ind w:right="283" w:firstLine="709"/>
        <w:jc w:val="both"/>
        <w:rPr>
          <w:color w:val="010000"/>
          <w:szCs w:val="19"/>
        </w:rPr>
      </w:pPr>
      <w:r w:rsidRPr="00D2783E">
        <w:rPr>
          <w:color w:val="010000"/>
          <w:szCs w:val="19"/>
        </w:rPr>
        <w:t>Anayasa’nın 67. maddesinde seçme ve seçilme hakkı ile bir siyasi parti içinde faaliyette bulunma hakkı, 68. maddesinde siyasi parti kurma hakkı düzenlenmiş; yine 68. maddede siyasi partilerin demokratik siyasi hayatın vazgeçilmez unsurları oldukları belirtilmiştir. AİHS’nin örgütlenme özgürlüğüne ilişkin 11. maddesi de siyasi parti faaliyetlerini güvence altına almaktadır.</w:t>
      </w:r>
    </w:p>
    <w:p w:rsidR="00D2783E" w:rsidRPr="00D2783E" w:rsidRDefault="00D2783E" w:rsidP="00D2783E">
      <w:pPr>
        <w:spacing w:after="200"/>
        <w:ind w:right="283" w:firstLine="709"/>
        <w:jc w:val="both"/>
        <w:rPr>
          <w:color w:val="010000"/>
          <w:szCs w:val="19"/>
        </w:rPr>
      </w:pPr>
      <w:r w:rsidRPr="00D2783E">
        <w:rPr>
          <w:color w:val="010000"/>
          <w:szCs w:val="19"/>
        </w:rPr>
        <w:t>11.</w:t>
      </w:r>
      <w:r w:rsidRPr="00D2783E">
        <w:rPr>
          <w:color w:val="010000"/>
          <w:szCs w:val="19"/>
        </w:rPr>
        <w:t xml:space="preserve"> </w:t>
      </w:r>
      <w:r w:rsidRPr="00D2783E">
        <w:rPr>
          <w:color w:val="010000"/>
          <w:szCs w:val="19"/>
        </w:rPr>
        <w:t xml:space="preserve">Zaman sınırlamasına ve yasa ile belirlenmiş sürelere tabi olmayan bir şekilde mali denetim yapılması ve bunun sonucunda, geçmiş yıllara ait harcama belgelerinin usulüne uygun olarak sunulamadığı gerekçesiyle, yine üst sınırı da olmaksızın, belirsiz miktarlarda para cezası (Hazineye irat kaydı) kesilebilmesi, denetim yılına ait bulgulardan hareketle çeşitli suç duyurularında bulunulması, siyasi faaliyet ve siyasi parti özgürlüğüne yapılmış bir müdahaledir. </w:t>
      </w:r>
    </w:p>
    <w:p w:rsidR="00D2783E" w:rsidRPr="00D2783E" w:rsidRDefault="00D2783E" w:rsidP="00D2783E">
      <w:pPr>
        <w:spacing w:after="200"/>
        <w:ind w:right="283" w:firstLine="709"/>
        <w:jc w:val="both"/>
        <w:rPr>
          <w:color w:val="010000"/>
          <w:szCs w:val="19"/>
        </w:rPr>
      </w:pPr>
      <w:r w:rsidRPr="00D2783E">
        <w:rPr>
          <w:color w:val="010000"/>
          <w:szCs w:val="19"/>
        </w:rPr>
        <w:t xml:space="preserve">12. Siyasi Parti özgürlüğüne yapılan müdahalenin, Anayasa’nın 13. maddesinde belirtildiği şekilde, yasa ile yapılması, demokratik bir toplumda zorunlu olması ve ölçülülük ilkesine aykırı olmaması gerekmektedir. </w:t>
      </w:r>
    </w:p>
    <w:p w:rsidR="00D2783E" w:rsidRPr="00D2783E" w:rsidRDefault="00D2783E" w:rsidP="00D2783E">
      <w:pPr>
        <w:spacing w:after="200"/>
        <w:ind w:right="283" w:firstLine="709"/>
        <w:jc w:val="both"/>
        <w:rPr>
          <w:color w:val="010000"/>
          <w:szCs w:val="19"/>
        </w:rPr>
      </w:pPr>
      <w:r w:rsidRPr="00D2783E">
        <w:rPr>
          <w:color w:val="010000"/>
          <w:szCs w:val="19"/>
        </w:rPr>
        <w:t xml:space="preserve">Mali denetim, siyasi parti faaliyetlerine yapılmış bir müdahale olmakla birlikte, demokratik bir toplumda zorunlu olduğu açıktır. Ancak, siyasi parti mali denetimlerinin ucu açık, yani yasa ile belli sürelere bağlanmamış bir uygulama kapsamında gerçekleştirildiği, bu konuda yeterli yasal çerçeve bulunmadığı, kıyas yoluyla uygulanabilecek mevzuat hükümlerinin de Anayasa Mahkemesince resen uygulanmadığı anlaşılmaktadır. Bu durumda siyasi parti faaliyetlerine yapılmış müdahalenin, demokratik bir toplumda zorunlu olsa bile, “yasa ile düzenlenme” koşuluna uyduğu söylenemez. </w:t>
      </w:r>
    </w:p>
    <w:p w:rsidR="00D2783E" w:rsidRPr="00D2783E" w:rsidRDefault="00D2783E" w:rsidP="00D2783E">
      <w:pPr>
        <w:spacing w:after="200"/>
        <w:ind w:right="283" w:firstLine="709"/>
        <w:jc w:val="both"/>
        <w:rPr>
          <w:color w:val="010000"/>
          <w:szCs w:val="19"/>
        </w:rPr>
      </w:pPr>
      <w:r w:rsidRPr="00D2783E">
        <w:rPr>
          <w:color w:val="010000"/>
          <w:szCs w:val="19"/>
        </w:rPr>
        <w:lastRenderedPageBreak/>
        <w:t>Bu nedenle beş yıldan sonra yapılan denetimlerin, buna bağlı suç duyurularının ve irat kaydı kararlarının, hukuk devleti ilkesine aykırı olduğu kadar, Anayasa’nın 68. maddesinin, Avrupa İnsan Hakları Sözleşmesi’nin (AİHS) 11. maddesinin de ihlalini oluşturduğunda şüphe bulunmamaktadır.</w:t>
      </w:r>
    </w:p>
    <w:p w:rsidR="00D2783E" w:rsidRPr="00D2783E" w:rsidRDefault="00D2783E" w:rsidP="00D2783E">
      <w:pPr>
        <w:spacing w:after="200"/>
        <w:ind w:right="283" w:firstLine="709"/>
        <w:jc w:val="both"/>
        <w:rPr>
          <w:color w:val="010000"/>
          <w:szCs w:val="19"/>
        </w:rPr>
      </w:pPr>
      <w:r w:rsidRPr="00D2783E">
        <w:rPr>
          <w:color w:val="010000"/>
          <w:szCs w:val="19"/>
        </w:rPr>
        <w:t>13. Anayasa Mahkemesinin yaptığı mali denetim, dosya üzerinden yapılan, temyiz ve itirazı kabil olmayan bir yargılamadır. Yargılanan tüzel kişi sıfatıyla, denetlenen partinin, Anayasa’nın 36. ve AİHS’nin 6. maddelerinde yer alan adil yargılanma hakkından yararlanması gerekeceği tartışmasızdır.</w:t>
      </w:r>
    </w:p>
    <w:p w:rsidR="00D2783E" w:rsidRPr="00D2783E" w:rsidRDefault="00D2783E" w:rsidP="00D2783E">
      <w:pPr>
        <w:spacing w:after="200"/>
        <w:ind w:right="283" w:firstLine="709"/>
        <w:jc w:val="both"/>
        <w:rPr>
          <w:color w:val="010000"/>
          <w:szCs w:val="19"/>
        </w:rPr>
      </w:pPr>
      <w:r w:rsidRPr="00D2783E">
        <w:rPr>
          <w:color w:val="010000"/>
          <w:szCs w:val="19"/>
        </w:rPr>
        <w:t>14. Anayasa’nın 36. ve AİHS’nin 6. maddesinde güvence altına alınan adil yargılanma hakkı kapsamında, makul sürede yargılanma da bulunmaktadır. Her türlü ölçüte göre, dosya üzerinden ve tek dereceli olarak yapılan mali denetimlerin beş yıl veya daha uzun sürelerde karara bağlanmasının makul ve haklı bir nedeni olamayacağından, adil yargılanma hakkının da bir ihlalini oluşturduğu açıktır.</w:t>
      </w:r>
    </w:p>
    <w:p w:rsidR="00D2783E" w:rsidRPr="00D2783E" w:rsidRDefault="00D2783E" w:rsidP="00D2783E">
      <w:pPr>
        <w:spacing w:after="200"/>
        <w:ind w:right="283" w:firstLine="709"/>
        <w:jc w:val="both"/>
        <w:rPr>
          <w:color w:val="010000"/>
          <w:szCs w:val="19"/>
        </w:rPr>
      </w:pPr>
      <w:r w:rsidRPr="00D2783E">
        <w:rPr>
          <w:color w:val="010000"/>
          <w:szCs w:val="19"/>
        </w:rPr>
        <w:t>Bu nedenlerle, denetlenen Parti hakkındaki çoğunluk kararına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D2783E" w:rsidTr="00D2783E">
        <w:tc>
          <w:tcPr>
            <w:tcW w:w="1000" w:type="pct"/>
            <w:shd w:val="clear" w:color="auto" w:fill="auto"/>
          </w:tcPr>
          <w:p w:rsidR="00D2783E" w:rsidRDefault="00D2783E" w:rsidP="00D2783E">
            <w:pPr>
              <w:spacing w:after="200"/>
              <w:ind w:right="283"/>
              <w:jc w:val="both"/>
              <w:rPr>
                <w:color w:val="010000"/>
                <w:szCs w:val="19"/>
              </w:rPr>
            </w:pPr>
            <w:bookmarkStart w:id="0" w:name="_GoBack"/>
            <w:bookmarkEnd w:id="0"/>
          </w:p>
        </w:tc>
        <w:tc>
          <w:tcPr>
            <w:tcW w:w="1000" w:type="pct"/>
            <w:shd w:val="clear" w:color="auto" w:fill="auto"/>
          </w:tcPr>
          <w:p w:rsidR="00D2783E" w:rsidRDefault="00D2783E" w:rsidP="00D2783E">
            <w:pPr>
              <w:spacing w:after="200"/>
              <w:ind w:right="283"/>
              <w:jc w:val="both"/>
              <w:rPr>
                <w:color w:val="010000"/>
                <w:szCs w:val="19"/>
              </w:rPr>
            </w:pPr>
          </w:p>
        </w:tc>
        <w:tc>
          <w:tcPr>
            <w:tcW w:w="1000" w:type="pct"/>
            <w:shd w:val="clear" w:color="auto" w:fill="auto"/>
          </w:tcPr>
          <w:p w:rsidR="00D2783E" w:rsidRDefault="00D2783E" w:rsidP="00D2783E">
            <w:pPr>
              <w:spacing w:after="200"/>
              <w:ind w:right="283"/>
              <w:jc w:val="both"/>
              <w:rPr>
                <w:color w:val="010000"/>
                <w:szCs w:val="19"/>
              </w:rPr>
            </w:pPr>
          </w:p>
        </w:tc>
        <w:tc>
          <w:tcPr>
            <w:tcW w:w="1000" w:type="pct"/>
            <w:shd w:val="clear" w:color="auto" w:fill="auto"/>
          </w:tcPr>
          <w:p w:rsidR="00D2783E" w:rsidRDefault="00D2783E" w:rsidP="00D2783E">
            <w:pPr>
              <w:spacing w:after="200"/>
              <w:ind w:right="283"/>
              <w:jc w:val="both"/>
              <w:rPr>
                <w:color w:val="010000"/>
                <w:szCs w:val="19"/>
              </w:rPr>
            </w:pPr>
          </w:p>
        </w:tc>
        <w:tc>
          <w:tcPr>
            <w:tcW w:w="1000" w:type="pct"/>
            <w:shd w:val="clear" w:color="auto" w:fill="auto"/>
          </w:tcPr>
          <w:p w:rsidR="00D2783E" w:rsidRDefault="00D2783E" w:rsidP="00D2783E">
            <w:pPr>
              <w:spacing w:after="200"/>
              <w:jc w:val="center"/>
              <w:rPr>
                <w:color w:val="010000"/>
                <w:szCs w:val="19"/>
              </w:rPr>
            </w:pPr>
            <w:r>
              <w:rPr>
                <w:color w:val="010000"/>
                <w:szCs w:val="19"/>
              </w:rPr>
              <w:t>Üye</w:t>
            </w:r>
          </w:p>
          <w:p w:rsidR="00D2783E" w:rsidRDefault="00D2783E" w:rsidP="00D2783E">
            <w:pPr>
              <w:spacing w:after="200"/>
              <w:jc w:val="center"/>
              <w:rPr>
                <w:color w:val="010000"/>
                <w:szCs w:val="19"/>
              </w:rPr>
            </w:pPr>
            <w:r>
              <w:rPr>
                <w:color w:val="010000"/>
                <w:szCs w:val="19"/>
              </w:rPr>
              <w:t xml:space="preserve"> Osman </w:t>
            </w:r>
            <w:proofErr w:type="spellStart"/>
            <w:r>
              <w:rPr>
                <w:color w:val="010000"/>
                <w:szCs w:val="19"/>
              </w:rPr>
              <w:t>Alifeyyaz</w:t>
            </w:r>
            <w:proofErr w:type="spellEnd"/>
            <w:r>
              <w:rPr>
                <w:color w:val="010000"/>
                <w:szCs w:val="19"/>
              </w:rPr>
              <w:t xml:space="preserve"> PAKSÜT</w:t>
            </w:r>
          </w:p>
          <w:p w:rsidR="00D2783E" w:rsidRPr="00D2783E" w:rsidRDefault="00D2783E" w:rsidP="00D2783E">
            <w:pPr>
              <w:spacing w:after="200"/>
              <w:jc w:val="center"/>
              <w:rPr>
                <w:color w:val="010000"/>
                <w:szCs w:val="19"/>
              </w:rPr>
            </w:pPr>
          </w:p>
        </w:tc>
      </w:tr>
    </w:tbl>
    <w:p w:rsidR="00D2783E" w:rsidRPr="00D2783E" w:rsidRDefault="00D2783E" w:rsidP="00D2783E">
      <w:pPr>
        <w:spacing w:after="200"/>
        <w:ind w:right="283" w:firstLine="709"/>
        <w:jc w:val="both"/>
        <w:rPr>
          <w:color w:val="010000"/>
          <w:szCs w:val="19"/>
        </w:rPr>
      </w:pPr>
    </w:p>
    <w:sectPr w:rsidR="00D2783E" w:rsidRPr="00D2783E" w:rsidSect="00D2783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8B7" w:rsidRDefault="001838B7" w:rsidP="00D2783E">
      <w:r>
        <w:separator/>
      </w:r>
    </w:p>
  </w:endnote>
  <w:endnote w:type="continuationSeparator" w:id="0">
    <w:p w:rsidR="001838B7" w:rsidRDefault="001838B7" w:rsidP="00D2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83E" w:rsidRDefault="00D2783E"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2783E" w:rsidRDefault="00D2783E" w:rsidP="00D278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83E" w:rsidRPr="00D2783E" w:rsidRDefault="00D2783E" w:rsidP="003411B3">
    <w:pPr>
      <w:pStyle w:val="AltBilgi"/>
      <w:framePr w:wrap="around" w:vAnchor="text" w:hAnchor="margin" w:xAlign="right" w:y="1"/>
      <w:rPr>
        <w:rStyle w:val="SayfaNumaras"/>
      </w:rPr>
    </w:pPr>
    <w:r w:rsidRPr="00D2783E">
      <w:rPr>
        <w:rStyle w:val="SayfaNumaras"/>
      </w:rPr>
      <w:fldChar w:fldCharType="begin"/>
    </w:r>
    <w:r w:rsidRPr="00D2783E">
      <w:rPr>
        <w:rStyle w:val="SayfaNumaras"/>
      </w:rPr>
      <w:instrText xml:space="preserve"> PAGE </w:instrText>
    </w:r>
    <w:r w:rsidRPr="00D2783E">
      <w:rPr>
        <w:rStyle w:val="SayfaNumaras"/>
      </w:rPr>
      <w:fldChar w:fldCharType="separate"/>
    </w:r>
    <w:r w:rsidRPr="00D2783E">
      <w:rPr>
        <w:rStyle w:val="SayfaNumaras"/>
        <w:noProof/>
      </w:rPr>
      <w:t>1</w:t>
    </w:r>
    <w:r w:rsidRPr="00D2783E">
      <w:rPr>
        <w:rStyle w:val="SayfaNumaras"/>
      </w:rPr>
      <w:fldChar w:fldCharType="end"/>
    </w:r>
  </w:p>
  <w:p w:rsidR="000851C3" w:rsidRDefault="001838B7" w:rsidP="00D2783E">
    <w:pPr>
      <w:pStyle w:val="a"/>
      <w:ind w:right="360"/>
      <w:jc w:val="center"/>
    </w:pPr>
  </w:p>
  <w:p w:rsidR="000851C3" w:rsidRDefault="001838B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8B7" w:rsidRDefault="001838B7" w:rsidP="00D2783E">
      <w:r>
        <w:separator/>
      </w:r>
    </w:p>
  </w:footnote>
  <w:footnote w:type="continuationSeparator" w:id="0">
    <w:p w:rsidR="001838B7" w:rsidRDefault="001838B7" w:rsidP="00D2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83E" w:rsidRPr="00D2783E" w:rsidRDefault="00D2783E" w:rsidP="00D2783E">
    <w:pPr>
      <w:pStyle w:val="stBilgi"/>
      <w:rPr>
        <w:b/>
      </w:rPr>
    </w:pPr>
    <w:r w:rsidRPr="00D2783E">
      <w:rPr>
        <w:b/>
      </w:rPr>
      <w:t>Esas Sayısı:2008/47(Siyasi Parti Mali Denetimi)</w:t>
    </w:r>
  </w:p>
  <w:p w:rsidR="00D2783E" w:rsidRDefault="00D2783E" w:rsidP="00D2783E">
    <w:pPr>
      <w:pStyle w:val="stBilgi"/>
      <w:rPr>
        <w:b/>
      </w:rPr>
    </w:pPr>
    <w:r>
      <w:rPr>
        <w:b/>
      </w:rPr>
      <w:t>Karar Sayısı:2015/20</w:t>
    </w:r>
  </w:p>
  <w:p w:rsidR="000851C3" w:rsidRPr="00D2783E" w:rsidRDefault="001838B7" w:rsidP="00D2783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3E"/>
    <w:rsid w:val="001838B7"/>
    <w:rsid w:val="00D12EB3"/>
    <w:rsid w:val="00D278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6693"/>
  <w15:chartTrackingRefBased/>
  <w15:docId w15:val="{3526A7DD-DFA1-4599-BDCE-6DA7F55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2783E"/>
    <w:pPr>
      <w:tabs>
        <w:tab w:val="center" w:pos="4536"/>
        <w:tab w:val="right" w:pos="9072"/>
      </w:tabs>
    </w:pPr>
  </w:style>
  <w:style w:type="character" w:customStyle="1" w:styleId="AltbilgiChar">
    <w:name w:val="Altbilgi Char"/>
    <w:link w:val="a"/>
    <w:uiPriority w:val="99"/>
    <w:rsid w:val="00D2783E"/>
    <w:rPr>
      <w:rFonts w:ascii="Times New Roman" w:eastAsia="Times New Roman" w:hAnsi="Times New Roman" w:cs="Times New Roman"/>
      <w:sz w:val="24"/>
      <w:szCs w:val="24"/>
      <w:lang w:eastAsia="tr-TR"/>
    </w:rPr>
  </w:style>
  <w:style w:type="character" w:customStyle="1" w:styleId="GvdeMetniGirintisi2Char">
    <w:name w:val="Gövde Metni Girintisi 2 Char"/>
    <w:link w:val="GvdeMetniGirintisi2"/>
    <w:locked/>
    <w:rsid w:val="00D2783E"/>
    <w:rPr>
      <w:sz w:val="24"/>
      <w:szCs w:val="24"/>
    </w:rPr>
  </w:style>
  <w:style w:type="paragraph" w:styleId="GvdeMetniGirintisi2">
    <w:name w:val="Body Text Indent 2"/>
    <w:basedOn w:val="Normal"/>
    <w:link w:val="GvdeMetniGirintisi2Char"/>
    <w:rsid w:val="00D2783E"/>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D2783E"/>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2783E"/>
    <w:pPr>
      <w:tabs>
        <w:tab w:val="center" w:pos="4536"/>
        <w:tab w:val="right" w:pos="9072"/>
      </w:tabs>
    </w:pPr>
  </w:style>
  <w:style w:type="character" w:customStyle="1" w:styleId="AltBilgiChar0">
    <w:name w:val="Alt Bilgi Char"/>
    <w:basedOn w:val="VarsaylanParagrafYazTipi"/>
    <w:link w:val="AltBilgi"/>
    <w:uiPriority w:val="99"/>
    <w:rsid w:val="00D2783E"/>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783E"/>
    <w:pPr>
      <w:tabs>
        <w:tab w:val="center" w:pos="4536"/>
        <w:tab w:val="right" w:pos="9072"/>
      </w:tabs>
    </w:pPr>
  </w:style>
  <w:style w:type="character" w:customStyle="1" w:styleId="stBilgiChar">
    <w:name w:val="Üst Bilgi Char"/>
    <w:basedOn w:val="VarsaylanParagrafYazTipi"/>
    <w:link w:val="stBilgi"/>
    <w:uiPriority w:val="99"/>
    <w:rsid w:val="00D2783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2783E"/>
  </w:style>
  <w:style w:type="table" w:styleId="TabloKlavuzu">
    <w:name w:val="Table Grid"/>
    <w:basedOn w:val="NormalTablo"/>
    <w:uiPriority w:val="39"/>
    <w:rsid w:val="00D27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2020-06-16T07:42:00Z</dcterms:created>
  <dcterms:modified xsi:type="dcterms:W3CDTF">2020-06-16T07:43:00Z</dcterms:modified>
</cp:coreProperties>
</file>