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EE8" w:rsidRDefault="00780EE8" w:rsidP="00780EE8">
      <w:pPr>
        <w:overflowPunct w:val="0"/>
        <w:autoSpaceDE w:val="0"/>
        <w:autoSpaceDN w:val="0"/>
        <w:spacing w:line="240" w:lineRule="auto"/>
        <w:ind w:right="283"/>
        <w:jc w:val="center"/>
        <w:rPr>
          <w:rFonts w:ascii="Times New Roman" w:hAnsi="Times New Roman"/>
          <w:b/>
          <w:bCs/>
          <w:caps/>
          <w:color w:val="010000"/>
          <w:sz w:val="24"/>
          <w:szCs w:val="30"/>
          <w:lang w:eastAsia="tr-TR"/>
        </w:rPr>
      </w:pPr>
      <w:r w:rsidRPr="00780EE8">
        <w:rPr>
          <w:rFonts w:ascii="Times New Roman" w:hAnsi="Times New Roman"/>
          <w:b/>
          <w:bCs/>
          <w:caps/>
          <w:color w:val="010000"/>
          <w:sz w:val="24"/>
          <w:szCs w:val="19"/>
          <w:lang w:eastAsia="tr-TR"/>
        </w:rPr>
        <w:t xml:space="preserve"> </w:t>
      </w:r>
      <w:r w:rsidRPr="00780EE8">
        <w:rPr>
          <w:rFonts w:ascii="Times New Roman" w:hAnsi="Times New Roman"/>
          <w:b/>
          <w:bCs/>
          <w:caps/>
          <w:color w:val="010000"/>
          <w:sz w:val="24"/>
          <w:szCs w:val="30"/>
          <w:lang w:eastAsia="tr-TR"/>
        </w:rPr>
        <w:t>ANAYASA MAHKEMESİ KARARI</w:t>
      </w:r>
    </w:p>
    <w:p w:rsidR="00780EE8" w:rsidRPr="00780EE8" w:rsidRDefault="00780EE8" w:rsidP="00780EE8">
      <w:pPr>
        <w:overflowPunct w:val="0"/>
        <w:autoSpaceDE w:val="0"/>
        <w:autoSpaceDN w:val="0"/>
        <w:spacing w:line="240" w:lineRule="auto"/>
        <w:ind w:right="283" w:firstLine="709"/>
        <w:jc w:val="center"/>
        <w:rPr>
          <w:rFonts w:ascii="Times New Roman" w:hAnsi="Times New Roman"/>
          <w:b/>
          <w:caps/>
          <w:color w:val="010000"/>
          <w:sz w:val="24"/>
          <w:szCs w:val="30"/>
          <w:lang w:eastAsia="tr-TR"/>
        </w:rPr>
      </w:pPr>
    </w:p>
    <w:p w:rsidR="00780EE8" w:rsidRDefault="00780EE8" w:rsidP="00780EE8">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Esas Sayısı:2014/26 (Siyasi Parti Mali Denetimi)</w:t>
      </w:r>
    </w:p>
    <w:p w:rsidR="00780EE8" w:rsidRDefault="00780EE8" w:rsidP="00780EE8">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Karar Sayısı:2014/71</w:t>
      </w:r>
    </w:p>
    <w:p w:rsidR="00780EE8" w:rsidRDefault="00780EE8" w:rsidP="00780EE8">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Karar Günü:17.12.2014</w:t>
      </w:r>
    </w:p>
    <w:p w:rsidR="00780EE8" w:rsidRDefault="00780EE8" w:rsidP="00780EE8">
      <w:pPr>
        <w:overflowPunct w:val="0"/>
        <w:autoSpaceDE w:val="0"/>
        <w:autoSpaceDN w:val="0"/>
        <w:spacing w:after="0" w:line="240" w:lineRule="auto"/>
        <w:rPr>
          <w:rFonts w:ascii="Times New Roman" w:hAnsi="Times New Roman"/>
          <w:b/>
          <w:bCs/>
          <w:color w:val="010000"/>
          <w:sz w:val="24"/>
          <w:lang w:eastAsia="tr-TR"/>
        </w:rPr>
      </w:pPr>
      <w:r>
        <w:rPr>
          <w:rFonts w:ascii="Times New Roman" w:hAnsi="Times New Roman"/>
          <w:b/>
          <w:bCs/>
          <w:color w:val="010000"/>
          <w:sz w:val="24"/>
          <w:lang w:eastAsia="tr-TR"/>
        </w:rPr>
        <w:t>R.G. Tarih-Sayı:20.1.2015-29242</w:t>
      </w:r>
    </w:p>
    <w:p w:rsidR="00780EE8" w:rsidRPr="00780EE8" w:rsidRDefault="00780EE8" w:rsidP="00780EE8">
      <w:pPr>
        <w:overflowPunct w:val="0"/>
        <w:autoSpaceDE w:val="0"/>
        <w:autoSpaceDN w:val="0"/>
        <w:spacing w:after="0" w:line="240" w:lineRule="auto"/>
        <w:rPr>
          <w:rFonts w:ascii="Times New Roman" w:hAnsi="Times New Roman"/>
          <w:b/>
          <w:bCs/>
          <w:color w:val="010000"/>
          <w:sz w:val="24"/>
          <w:lang w:eastAsia="tr-TR"/>
        </w:rPr>
      </w:pP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lang w:eastAsia="tr-TR"/>
        </w:rPr>
      </w:pPr>
      <w:r w:rsidRPr="00780EE8">
        <w:rPr>
          <w:rFonts w:ascii="Times New Roman" w:hAnsi="Times New Roman"/>
          <w:b/>
          <w:bCs/>
          <w:color w:val="010000"/>
          <w:sz w:val="24"/>
          <w:lang w:eastAsia="tr-TR"/>
        </w:rPr>
        <w:t>I- MALİ DENETİMİN KONUSU</w:t>
      </w:r>
      <w:r w:rsidRPr="00780EE8">
        <w:rPr>
          <w:rFonts w:ascii="Times New Roman" w:hAnsi="Times New Roman"/>
          <w:color w:val="010000"/>
          <w:sz w:val="24"/>
          <w:lang w:eastAsia="tr-TR"/>
        </w:rPr>
        <w:t xml:space="preserve"> </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Bağımsız Cumhuriyet Partisi 2013 yılı kesin hesabının incelenmesidir.</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lang w:eastAsia="tr-TR"/>
        </w:rPr>
      </w:pPr>
      <w:r w:rsidRPr="00780EE8">
        <w:rPr>
          <w:rFonts w:ascii="Times New Roman" w:hAnsi="Times New Roman"/>
          <w:b/>
          <w:bCs/>
          <w:color w:val="010000"/>
          <w:sz w:val="24"/>
          <w:lang w:eastAsia="tr-TR"/>
        </w:rPr>
        <w:t xml:space="preserve">II- İLK İNCELEME </w:t>
      </w:r>
    </w:p>
    <w:p w:rsidR="00780EE8" w:rsidRPr="00780EE8" w:rsidRDefault="00780EE8" w:rsidP="00780EE8">
      <w:pPr>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Bağımsız Cumhuriyet Partisinin Anayasa Mahkemesine verdiği 2013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1-</w:t>
      </w:r>
      <w:r w:rsidRPr="00780EE8">
        <w:rPr>
          <w:rFonts w:ascii="Times New Roman" w:hAnsi="Times New Roman"/>
          <w:color w:val="010000"/>
          <w:sz w:val="24"/>
          <w:szCs w:val="19"/>
          <w:lang w:eastAsia="tr-TR"/>
        </w:rPr>
        <w:t xml:space="preserve"> </w:t>
      </w:r>
      <w:r w:rsidRPr="00780EE8">
        <w:rPr>
          <w:rFonts w:ascii="Times New Roman" w:hAnsi="Times New Roman"/>
          <w:color w:val="010000"/>
          <w:sz w:val="24"/>
          <w:szCs w:val="19"/>
          <w:lang w:eastAsia="tr-TR"/>
        </w:rPr>
        <w:t xml:space="preserve">Parti Genel Başkanı M. Müge GÜLSES tarafından Anayasa Mahkemesi Başkanlığına verilen 27.6.2014 gün ve 00GSYM 712/158 sayılı yazıda, Bağımsız Cumhuriyet Partisinin Genel Merkez ve il örgütlerinin 2013 yılında ait herhangi bir gelir ve giderinin olmadığı edilmiştir. Ayrıca Partinin 2013 yılında edindiği taşınmaz ve değeri yüz milyon lirayı aşan taşınır malların, menkul kıymetlerin ve her türlü hakların değerleri ile edinim tarihlerini ve şekillerini de belirten listeler gönderilmemiştir. </w:t>
      </w:r>
    </w:p>
    <w:p w:rsidR="00780EE8" w:rsidRPr="00780EE8" w:rsidRDefault="00780EE8" w:rsidP="00780EE8">
      <w:pPr>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2820 sayılı Kanun’un 74. maddesinde, “</w:t>
      </w:r>
      <w:r w:rsidRPr="00780EE8">
        <w:rPr>
          <w:rFonts w:ascii="Times New Roman" w:hAnsi="Times New Roman"/>
          <w:i/>
          <w:iCs/>
          <w:color w:val="010000"/>
          <w:sz w:val="24"/>
          <w:szCs w:val="19"/>
          <w:lang w:eastAsia="tr-TR"/>
        </w:rPr>
        <w:t>Siyasi partilerin mali denetimi Anayasa Mahkemesince yapılır. Anayasa Mahkemesi, siyasi partilerin mal edinimleri ile gelir ve giderlerinin Kanuni uygunluğunu denetler.</w:t>
      </w:r>
    </w:p>
    <w:p w:rsidR="00780EE8" w:rsidRPr="00780EE8" w:rsidRDefault="00780EE8" w:rsidP="00780EE8">
      <w:pPr>
        <w:autoSpaceDE w:val="0"/>
        <w:autoSpaceDN w:val="0"/>
        <w:spacing w:line="240" w:lineRule="auto"/>
        <w:ind w:right="283" w:firstLine="709"/>
        <w:jc w:val="both"/>
        <w:rPr>
          <w:rFonts w:ascii="Times New Roman" w:hAnsi="Times New Roman"/>
          <w:i/>
          <w:iCs/>
          <w:color w:val="010000"/>
          <w:sz w:val="24"/>
          <w:szCs w:val="19"/>
          <w:lang w:eastAsia="tr-TR"/>
        </w:rPr>
      </w:pPr>
      <w:r w:rsidRPr="00780EE8">
        <w:rPr>
          <w:rFonts w:ascii="Times New Roman" w:hAnsi="Times New Roman"/>
          <w:i/>
          <w:iCs/>
          <w:color w:val="010000"/>
          <w:sz w:val="24"/>
          <w:szCs w:val="19"/>
          <w:lang w:eastAsia="tr-TR"/>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780EE8">
        <w:rPr>
          <w:rFonts w:ascii="Times New Roman" w:hAnsi="Times New Roman"/>
          <w:i/>
          <w:iCs/>
          <w:color w:val="010000"/>
          <w:sz w:val="24"/>
          <w:szCs w:val="19"/>
          <w:lang w:eastAsia="tr-TR"/>
        </w:rPr>
        <w:t>Haziran</w:t>
      </w:r>
      <w:proofErr w:type="gramEnd"/>
      <w:r w:rsidRPr="00780EE8">
        <w:rPr>
          <w:rFonts w:ascii="Times New Roman" w:hAnsi="Times New Roman"/>
          <w:i/>
          <w:iCs/>
          <w:color w:val="010000"/>
          <w:sz w:val="24"/>
          <w:szCs w:val="19"/>
          <w:lang w:eastAsia="tr-TR"/>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780EE8" w:rsidRPr="00780EE8" w:rsidRDefault="00780EE8" w:rsidP="00780EE8">
      <w:pPr>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111. maddesinin birinci fıkrasının (b) bendinde ise Siyasi partilerin</w:t>
      </w:r>
      <w:r w:rsidRPr="00780EE8">
        <w:rPr>
          <w:rFonts w:ascii="Times New Roman" w:hAnsi="Times New Roman"/>
          <w:i/>
          <w:iCs/>
          <w:color w:val="010000"/>
          <w:sz w:val="24"/>
          <w:szCs w:val="19"/>
          <w:lang w:eastAsia="tr-TR"/>
        </w:rPr>
        <w:t xml:space="preserve"> “</w:t>
      </w:r>
      <w:proofErr w:type="gramStart"/>
      <w:r w:rsidRPr="00780EE8">
        <w:rPr>
          <w:rFonts w:ascii="Times New Roman" w:hAnsi="Times New Roman"/>
          <w:i/>
          <w:iCs/>
          <w:color w:val="010000"/>
          <w:sz w:val="24"/>
          <w:szCs w:val="19"/>
          <w:lang w:eastAsia="tr-TR"/>
        </w:rPr>
        <w:t>74 üncü</w:t>
      </w:r>
      <w:proofErr w:type="gramEnd"/>
      <w:r w:rsidRPr="00780EE8">
        <w:rPr>
          <w:rFonts w:ascii="Times New Roman" w:hAnsi="Times New Roman"/>
          <w:i/>
          <w:iCs/>
          <w:color w:val="010000"/>
          <w:sz w:val="24"/>
          <w:szCs w:val="19"/>
          <w:lang w:eastAsia="tr-TR"/>
        </w:rPr>
        <w:t xml:space="preserve"> madde hükümlerine aykırı hareket eden sorumluları hakkında, üç aydan altı aya kadar hafif hapis ve on beş milyon liradan otuz milyon liraya kadar hafif para cezası verilir.”,</w:t>
      </w:r>
    </w:p>
    <w:p w:rsidR="00780EE8" w:rsidRPr="00780EE8" w:rsidRDefault="00780EE8" w:rsidP="00780EE8">
      <w:pPr>
        <w:spacing w:line="240" w:lineRule="auto"/>
        <w:ind w:right="283" w:firstLine="709"/>
        <w:jc w:val="both"/>
        <w:rPr>
          <w:rFonts w:ascii="Times New Roman" w:hAnsi="Times New Roman"/>
          <w:color w:val="010000"/>
          <w:sz w:val="24"/>
          <w:szCs w:val="19"/>
          <w:lang w:eastAsia="tr-TR"/>
        </w:rPr>
      </w:pPr>
      <w:proofErr w:type="gramStart"/>
      <w:r w:rsidRPr="00780EE8">
        <w:rPr>
          <w:rFonts w:ascii="Times New Roman" w:hAnsi="Times New Roman"/>
          <w:color w:val="010000"/>
          <w:sz w:val="24"/>
          <w:szCs w:val="19"/>
          <w:lang w:eastAsia="tr-TR"/>
        </w:rPr>
        <w:t>hükümleri</w:t>
      </w:r>
      <w:proofErr w:type="gramEnd"/>
      <w:r w:rsidRPr="00780EE8">
        <w:rPr>
          <w:rFonts w:ascii="Times New Roman" w:hAnsi="Times New Roman"/>
          <w:color w:val="010000"/>
          <w:sz w:val="24"/>
          <w:szCs w:val="19"/>
          <w:lang w:eastAsia="tr-TR"/>
        </w:rPr>
        <w:t xml:space="preserve"> yer almıştır. </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Hiçbir gelir ve gideri olmadığı gerekçesiyle Genel Merkez ve il örgülerine ait kesin hesap cetvellerini ve aynı hesap döneminde edindiği taşınmaz ve değeri 100 TL’yi aşan taşınır malların, menkul kıymetlerin ve her türlü hakların değerleri ile edinim tarihlerini ve şekillerini de belirten listeleri göndermeyen Parti yetkilileri hakkında 2820 sayılı Kanun’un 111. maddesinin (b) fıkrasına istinaden gerekli işlemlerin yapılması için Ankara Cumhuriyet Başsavcılığına suç duyurusunda bulunulması gerekir.</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lastRenderedPageBreak/>
        <w:t xml:space="preserve">Ayrıca siyasi partilerin faaliyetlerini yürüttükleri genel merkez, il ve ilçe başkanlıklarına ait binaların ya kendi mülkü veya kira olması gerekir. Şayet parti yetkililerine ait binalarda siyasi faaliyette bulunuluyor ise (Genel merkez, il, ilçe teşkilatının faaliyette bulunduğu binalar) bu takdirde kira sözleşmesi düzenlenerek isabet eden tutarın partiye bağış olarak kaydedilmesi gerekir. </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Parti yetkililerinin sundukları kesin hesapta, Genel Merkez ve il örgütlerine ilişkin herhangi bir gelir ve gider belirtilmemiştir. Parti Genel Merkezi ve il örgütleri faaliyette olduğuna göre, bu teşkilatlara ait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Mahkemeye hesap verilebilir şekilde kayıt ve belge düzeninin oluşturulmaması ile hesabın dışında gelir ve gider oluşturulması inceleme ve araştırmayı engellemeye yönelik eylemler olduğundan 2820 sayılı Kanun’un 111. maddesinin (c) fıkrasına istinaden gerekli işlemlerin yapılması için Ankara Cumhuriyet Başsavcılığına suç duyurusunda bulunulması gerekir.</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Diğer taraftan, gelir ve gideri olmadığı beyan edilerek herhangi bir bilgi ve belge ibraz edilmeyen Parti Genel Merkez ve il örgütlerine ait kesin hesabının denetimi gerçekleştirilemediğinden, Partinin 2013 yılı hesabının 2820 sayılı Kanun uyarınca kabul edilmesinin mümkün olmadığına karar vermek gerekmiştir.</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lang w:eastAsia="tr-TR"/>
        </w:rPr>
      </w:pPr>
      <w:r w:rsidRPr="00780EE8">
        <w:rPr>
          <w:rFonts w:ascii="Times New Roman" w:hAnsi="Times New Roman"/>
          <w:b/>
          <w:bCs/>
          <w:color w:val="010000"/>
          <w:sz w:val="24"/>
          <w:lang w:eastAsia="tr-TR"/>
        </w:rPr>
        <w:t>III-</w:t>
      </w:r>
      <w:r w:rsidRPr="00780EE8">
        <w:rPr>
          <w:rFonts w:ascii="Times New Roman" w:hAnsi="Times New Roman"/>
          <w:color w:val="010000"/>
          <w:sz w:val="24"/>
          <w:lang w:eastAsia="tr-TR"/>
        </w:rPr>
        <w:t xml:space="preserve"> </w:t>
      </w:r>
      <w:r w:rsidRPr="00780EE8">
        <w:rPr>
          <w:rFonts w:ascii="Times New Roman" w:hAnsi="Times New Roman"/>
          <w:b/>
          <w:bCs/>
          <w:color w:val="010000"/>
          <w:sz w:val="24"/>
          <w:lang w:eastAsia="tr-TR"/>
        </w:rPr>
        <w:t>SONUÇ</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Bağımsız Cumhuriyet Partisinin 2013 yılı kesin hesabının incelenmesi sonucunda;</w:t>
      </w:r>
      <w:r w:rsidRPr="00780EE8">
        <w:rPr>
          <w:rFonts w:ascii="Times New Roman" w:hAnsi="Times New Roman"/>
          <w:color w:val="010000"/>
          <w:sz w:val="24"/>
          <w:szCs w:val="19"/>
          <w:lang w:eastAsia="tr-TR"/>
        </w:rPr>
        <w:t xml:space="preserve"> </w:t>
      </w:r>
    </w:p>
    <w:p w:rsidR="00780EE8" w:rsidRPr="00780EE8" w:rsidRDefault="00780EE8" w:rsidP="00780EE8">
      <w:pPr>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 xml:space="preserve">1- Genel merkez ve il örgütlerine ait 2013 yılı kesin hesabının ve partinin 2013 yılında edindiği taşınmaz ve değeri yüz milyon lirayı aşan taşınır malların, menkul kıymetlerin ve her türlü hakların değerleriyle edinim tarihlerini ve şekillerini gösteren listenin gönderilmemesi nedeniyle 2820 sayılı Siyasi Partiler Kanunu’nun 74. maddesi ve aynı Kanun’un 111. maddesinin birinci fıkrasının (b) bendi uyarınca yasal işlem yapılması için Ankara Cumhuriyet Başsavcılığına suç duyurusunda bulunulmasına, </w:t>
      </w:r>
    </w:p>
    <w:p w:rsidR="00780EE8" w:rsidRPr="00780EE8" w:rsidRDefault="00780EE8" w:rsidP="00780EE8">
      <w:pPr>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 xml:space="preserve">2-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lang w:eastAsia="tr-TR"/>
        </w:rPr>
      </w:pPr>
      <w:r w:rsidRPr="00780EE8">
        <w:rPr>
          <w:rFonts w:ascii="Times New Roman" w:hAnsi="Times New Roman"/>
          <w:color w:val="010000"/>
          <w:sz w:val="24"/>
          <w:szCs w:val="19"/>
          <w:lang w:eastAsia="tr-TR"/>
        </w:rPr>
        <w:t>3- Gelir ve gideri olmadığı beyan edilerek herhangi bir bilgi ve belge ibraz edilmeyen Parti Genel Merkez ve il örgütlerine ait kesin hesapların denetimi gerçekleştirilemediğinden, Partinin 2013 yılı hesabının 2820 sayılı Kanun uyarınca kabul edilmesinin mümkün olmadığına,</w:t>
      </w:r>
    </w:p>
    <w:p w:rsidR="00780EE8" w:rsidRPr="00780EE8" w:rsidRDefault="00780EE8" w:rsidP="00780EE8">
      <w:pPr>
        <w:overflowPunct w:val="0"/>
        <w:autoSpaceDE w:val="0"/>
        <w:autoSpaceDN w:val="0"/>
        <w:spacing w:line="240" w:lineRule="auto"/>
        <w:ind w:right="283" w:firstLine="709"/>
        <w:jc w:val="both"/>
        <w:rPr>
          <w:rFonts w:ascii="Times New Roman" w:hAnsi="Times New Roman"/>
          <w:color w:val="010000"/>
          <w:sz w:val="24"/>
          <w:szCs w:val="19"/>
        </w:rPr>
      </w:pPr>
      <w:r w:rsidRPr="00780EE8">
        <w:rPr>
          <w:rFonts w:ascii="Times New Roman" w:hAnsi="Times New Roman"/>
          <w:color w:val="010000"/>
          <w:sz w:val="24"/>
          <w:szCs w:val="19"/>
        </w:rPr>
        <w:t>17.12.2014 gününde OYBİRLİĞİYLE karar verildi.</w:t>
      </w:r>
    </w:p>
    <w:p w:rsidR="00780EE8" w:rsidRDefault="00780EE8">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326"/>
        <w:gridCol w:w="3227"/>
        <w:gridCol w:w="3227"/>
      </w:tblGrid>
      <w:tr w:rsidR="00780EE8" w:rsidRPr="00780EE8" w:rsidTr="00780EE8">
        <w:trPr>
          <w:jc w:val="center"/>
        </w:trPr>
        <w:tc>
          <w:tcPr>
            <w:tcW w:w="170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Başkanvekili</w:t>
            </w:r>
          </w:p>
          <w:p w:rsidR="00780EE8" w:rsidRPr="00780EE8" w:rsidRDefault="00780EE8" w:rsidP="00780EE8">
            <w:pPr>
              <w:spacing w:before="240" w:after="240" w:line="240" w:lineRule="auto"/>
              <w:jc w:val="center"/>
              <w:rPr>
                <w:rFonts w:ascii="Times New Roman" w:hAnsi="Times New Roman"/>
                <w:color w:val="010000"/>
                <w:sz w:val="24"/>
                <w:szCs w:val="19"/>
              </w:rPr>
            </w:pPr>
            <w:proofErr w:type="spellStart"/>
            <w:r w:rsidRPr="00780EE8">
              <w:rPr>
                <w:rFonts w:ascii="Times New Roman" w:hAnsi="Times New Roman"/>
                <w:color w:val="010000"/>
                <w:sz w:val="24"/>
                <w:szCs w:val="19"/>
              </w:rPr>
              <w:t>Serruh</w:t>
            </w:r>
            <w:proofErr w:type="spellEnd"/>
            <w:r w:rsidRPr="00780EE8">
              <w:rPr>
                <w:rFonts w:ascii="Times New Roman" w:hAnsi="Times New Roman"/>
                <w:color w:val="010000"/>
                <w:sz w:val="24"/>
                <w:szCs w:val="19"/>
              </w:rPr>
              <w:t xml:space="preserve"> KALELİ</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Başkanvekili</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Alparslan ALTAN</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Serdar ÖZGÜLDÜR</w:t>
            </w:r>
          </w:p>
        </w:tc>
      </w:tr>
      <w:tr w:rsidR="00780EE8" w:rsidRPr="00780EE8" w:rsidTr="00780EE8">
        <w:trPr>
          <w:jc w:val="center"/>
        </w:trPr>
        <w:tc>
          <w:tcPr>
            <w:tcW w:w="170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lastRenderedPageBreak/>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 xml:space="preserve">Osman </w:t>
            </w:r>
            <w:proofErr w:type="spellStart"/>
            <w:r w:rsidRPr="00780EE8">
              <w:rPr>
                <w:rFonts w:ascii="Times New Roman" w:hAnsi="Times New Roman"/>
                <w:color w:val="010000"/>
                <w:sz w:val="24"/>
                <w:szCs w:val="19"/>
              </w:rPr>
              <w:t>Alifeyyaz</w:t>
            </w:r>
            <w:proofErr w:type="spellEnd"/>
            <w:r w:rsidRPr="00780EE8">
              <w:rPr>
                <w:rFonts w:ascii="Times New Roman" w:hAnsi="Times New Roman"/>
                <w:color w:val="010000"/>
                <w:sz w:val="24"/>
                <w:szCs w:val="19"/>
              </w:rPr>
              <w:t xml:space="preserve"> PAKSÜT</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Recep KÖMÜRCÜ</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Burhan ÜSTÜN</w:t>
            </w:r>
          </w:p>
        </w:tc>
      </w:tr>
      <w:tr w:rsidR="00780EE8" w:rsidRPr="00780EE8" w:rsidTr="00780EE8">
        <w:trPr>
          <w:jc w:val="center"/>
        </w:trPr>
        <w:tc>
          <w:tcPr>
            <w:tcW w:w="170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Engin YILDIRIM</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Nuri NECİPOĞLU</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proofErr w:type="spellStart"/>
            <w:r w:rsidRPr="00780EE8">
              <w:rPr>
                <w:rFonts w:ascii="Times New Roman" w:hAnsi="Times New Roman"/>
                <w:color w:val="010000"/>
                <w:sz w:val="24"/>
                <w:szCs w:val="19"/>
              </w:rPr>
              <w:t>Hicabi</w:t>
            </w:r>
            <w:proofErr w:type="spellEnd"/>
            <w:r w:rsidRPr="00780EE8">
              <w:rPr>
                <w:rFonts w:ascii="Times New Roman" w:hAnsi="Times New Roman"/>
                <w:color w:val="010000"/>
                <w:sz w:val="24"/>
                <w:szCs w:val="19"/>
              </w:rPr>
              <w:t xml:space="preserve"> DURSUN</w:t>
            </w:r>
          </w:p>
        </w:tc>
      </w:tr>
      <w:tr w:rsidR="00780EE8" w:rsidRPr="00780EE8" w:rsidTr="00780EE8">
        <w:trPr>
          <w:jc w:val="center"/>
        </w:trPr>
        <w:tc>
          <w:tcPr>
            <w:tcW w:w="170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Celal Mümtaz AKINCI</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Erdal TERCAN</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Muammer TOPAL</w:t>
            </w:r>
          </w:p>
        </w:tc>
      </w:tr>
      <w:tr w:rsidR="00780EE8" w:rsidRPr="00780EE8" w:rsidTr="00780EE8">
        <w:trPr>
          <w:jc w:val="center"/>
        </w:trPr>
        <w:tc>
          <w:tcPr>
            <w:tcW w:w="170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Zühtü ARSLAN</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M. Emin KUZ</w:t>
            </w:r>
          </w:p>
        </w:tc>
        <w:tc>
          <w:tcPr>
            <w:tcW w:w="1650" w:type="pct"/>
          </w:tcPr>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Üye</w:t>
            </w:r>
          </w:p>
          <w:p w:rsidR="00780EE8" w:rsidRPr="00780EE8" w:rsidRDefault="00780EE8" w:rsidP="00780EE8">
            <w:pPr>
              <w:spacing w:before="240" w:after="240" w:line="240" w:lineRule="auto"/>
              <w:jc w:val="center"/>
              <w:rPr>
                <w:rFonts w:ascii="Times New Roman" w:hAnsi="Times New Roman"/>
                <w:color w:val="010000"/>
                <w:sz w:val="24"/>
                <w:szCs w:val="19"/>
              </w:rPr>
            </w:pPr>
            <w:r w:rsidRPr="00780EE8">
              <w:rPr>
                <w:rFonts w:ascii="Times New Roman" w:hAnsi="Times New Roman"/>
                <w:color w:val="010000"/>
                <w:sz w:val="24"/>
                <w:szCs w:val="19"/>
              </w:rPr>
              <w:t>Hasan Tahsin GÖKCAN</w:t>
            </w:r>
          </w:p>
        </w:tc>
      </w:tr>
    </w:tbl>
    <w:p w:rsidR="00780EE8" w:rsidRPr="00780EE8" w:rsidRDefault="00780EE8" w:rsidP="00780EE8">
      <w:pPr>
        <w:pStyle w:val="GvdeMetniGirintisi2"/>
        <w:spacing w:after="200"/>
        <w:ind w:left="0" w:right="283" w:firstLine="709"/>
        <w:jc w:val="both"/>
        <w:rPr>
          <w:rFonts w:ascii="Times New Roman" w:hAnsi="Times New Roman" w:cs="Times New Roman"/>
          <w:color w:val="010000"/>
          <w:szCs w:val="19"/>
        </w:rPr>
      </w:pPr>
    </w:p>
    <w:sectPr w:rsidR="00780EE8" w:rsidRPr="00780EE8" w:rsidSect="00780EE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2CD7" w:rsidRDefault="00222CD7" w:rsidP="00780EE8">
      <w:pPr>
        <w:spacing w:after="0" w:line="240" w:lineRule="auto"/>
      </w:pPr>
      <w:r>
        <w:separator/>
      </w:r>
    </w:p>
  </w:endnote>
  <w:endnote w:type="continuationSeparator" w:id="0">
    <w:p w:rsidR="00222CD7" w:rsidRDefault="00222CD7" w:rsidP="0078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143" w:rsidRDefault="00222CD7" w:rsidP="00780EE8">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172143" w:rsidRDefault="00222CD7" w:rsidP="00780EE8">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143" w:rsidRPr="00780EE8" w:rsidRDefault="00222CD7" w:rsidP="00780EE8">
    <w:pPr>
      <w:pStyle w:val="a"/>
      <w:framePr w:wrap="around" w:vAnchor="text" w:hAnchor="margin" w:xAlign="right" w:y="1"/>
      <w:rPr>
        <w:rStyle w:val="SayfaNumaras"/>
        <w:rFonts w:ascii="Times New Roman" w:hAnsi="Times New Roman"/>
        <w:sz w:val="24"/>
      </w:rPr>
    </w:pPr>
    <w:r w:rsidRPr="00780EE8">
      <w:rPr>
        <w:rStyle w:val="SayfaNumaras"/>
        <w:rFonts w:ascii="Times New Roman" w:hAnsi="Times New Roman"/>
        <w:sz w:val="24"/>
      </w:rPr>
      <w:fldChar w:fldCharType="begin"/>
    </w:r>
    <w:r w:rsidRPr="00780EE8">
      <w:rPr>
        <w:rStyle w:val="SayfaNumaras"/>
        <w:rFonts w:ascii="Times New Roman" w:hAnsi="Times New Roman"/>
        <w:sz w:val="24"/>
      </w:rPr>
      <w:instrText xml:space="preserve">PAGE  </w:instrText>
    </w:r>
    <w:r w:rsidRPr="00780EE8">
      <w:rPr>
        <w:rStyle w:val="SayfaNumaras"/>
        <w:rFonts w:ascii="Times New Roman" w:hAnsi="Times New Roman"/>
        <w:sz w:val="24"/>
      </w:rPr>
      <w:fldChar w:fldCharType="separate"/>
    </w:r>
    <w:r w:rsidRPr="00780EE8">
      <w:rPr>
        <w:rStyle w:val="SayfaNumaras"/>
        <w:rFonts w:ascii="Times New Roman" w:hAnsi="Times New Roman"/>
        <w:noProof/>
        <w:sz w:val="24"/>
      </w:rPr>
      <w:t>3</w:t>
    </w:r>
    <w:r w:rsidRPr="00780EE8">
      <w:rPr>
        <w:rStyle w:val="SayfaNumaras"/>
        <w:rFonts w:ascii="Times New Roman" w:hAnsi="Times New Roman"/>
        <w:sz w:val="24"/>
      </w:rPr>
      <w:fldChar w:fldCharType="end"/>
    </w:r>
  </w:p>
  <w:p w:rsidR="00172143" w:rsidRDefault="00222CD7" w:rsidP="00780EE8">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2CD7" w:rsidRDefault="00222CD7" w:rsidP="00780EE8">
      <w:pPr>
        <w:spacing w:after="0" w:line="240" w:lineRule="auto"/>
      </w:pPr>
      <w:r>
        <w:separator/>
      </w:r>
    </w:p>
  </w:footnote>
  <w:footnote w:type="continuationSeparator" w:id="0">
    <w:p w:rsidR="00222CD7" w:rsidRDefault="00222CD7" w:rsidP="00780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EE8" w:rsidRPr="00780EE8" w:rsidRDefault="00780EE8" w:rsidP="00780EE8">
    <w:pPr>
      <w:pStyle w:val="stBilgi"/>
      <w:rPr>
        <w:rFonts w:ascii="Times New Roman" w:hAnsi="Times New Roman"/>
        <w:b/>
        <w:sz w:val="24"/>
      </w:rPr>
    </w:pPr>
    <w:r w:rsidRPr="00780EE8">
      <w:rPr>
        <w:rFonts w:ascii="Times New Roman" w:hAnsi="Times New Roman"/>
        <w:b/>
        <w:sz w:val="24"/>
      </w:rPr>
      <w:t>Esas Sayısı:2014/26 (Siyasi Parti Mali Denetimi)</w:t>
    </w:r>
  </w:p>
  <w:p w:rsidR="00780EE8" w:rsidRDefault="00780EE8" w:rsidP="00780EE8">
    <w:pPr>
      <w:pStyle w:val="stBilgi"/>
      <w:rPr>
        <w:rFonts w:ascii="Times New Roman" w:hAnsi="Times New Roman"/>
        <w:b/>
        <w:sz w:val="24"/>
      </w:rPr>
    </w:pPr>
    <w:r>
      <w:rPr>
        <w:rFonts w:ascii="Times New Roman" w:hAnsi="Times New Roman"/>
        <w:b/>
        <w:sz w:val="24"/>
      </w:rPr>
      <w:t>Karar Sayısı:2014/71</w:t>
    </w:r>
  </w:p>
  <w:p w:rsidR="00172143" w:rsidRPr="00780EE8" w:rsidRDefault="00222CD7" w:rsidP="00780EE8">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E8"/>
    <w:rsid w:val="00222CD7"/>
    <w:rsid w:val="00780EE8"/>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08F48-BC7D-42B8-8BFA-29876FFD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EE8"/>
    <w:pPr>
      <w:spacing w:after="200" w:line="276" w:lineRule="auto"/>
    </w:pPr>
    <w:rPr>
      <w:rFonts w:ascii="Calibri" w:eastAsia="Times New Roman"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GvdeMetniGirintisi2"/>
    <w:semiHidden/>
    <w:locked/>
    <w:rsid w:val="00780EE8"/>
    <w:rPr>
      <w:rFonts w:ascii="Calibri" w:eastAsia="Calibri" w:hAnsi="Calibri"/>
      <w:sz w:val="24"/>
      <w:szCs w:val="24"/>
    </w:rPr>
  </w:style>
  <w:style w:type="paragraph" w:styleId="GvdeMetniGirintisi2">
    <w:name w:val="Body Text Indent 2"/>
    <w:basedOn w:val="Normal"/>
    <w:link w:val="GvdeMetniGirintisi2Char"/>
    <w:semiHidden/>
    <w:rsid w:val="00780EE8"/>
    <w:pPr>
      <w:spacing w:after="0" w:line="240" w:lineRule="auto"/>
      <w:ind w:left="360"/>
    </w:pPr>
    <w:rPr>
      <w:rFonts w:eastAsia="Calibri" w:cstheme="minorBidi"/>
      <w:sz w:val="24"/>
      <w:szCs w:val="24"/>
    </w:rPr>
  </w:style>
  <w:style w:type="character" w:customStyle="1" w:styleId="GvdeMetniGirintisi2Char1">
    <w:name w:val="Gövde Metni Girintisi 2 Char1"/>
    <w:basedOn w:val="VarsaylanParagrafYazTipi"/>
    <w:uiPriority w:val="99"/>
    <w:semiHidden/>
    <w:rsid w:val="00780EE8"/>
    <w:rPr>
      <w:rFonts w:ascii="Calibri" w:eastAsia="Times New Roman" w:hAnsi="Calibri" w:cs="Times New Roman"/>
    </w:rPr>
  </w:style>
  <w:style w:type="paragraph" w:styleId="a">
    <w:basedOn w:val="Normal"/>
    <w:next w:val="stBilgi"/>
    <w:rsid w:val="00780EE8"/>
    <w:pPr>
      <w:tabs>
        <w:tab w:val="center" w:pos="4536"/>
        <w:tab w:val="right" w:pos="9072"/>
      </w:tabs>
    </w:pPr>
  </w:style>
  <w:style w:type="character" w:styleId="SayfaNumaras">
    <w:name w:val="page number"/>
    <w:basedOn w:val="VarsaylanParagrafYazTipi"/>
    <w:rsid w:val="00780EE8"/>
  </w:style>
  <w:style w:type="paragraph" w:styleId="stBilgi">
    <w:name w:val="header"/>
    <w:basedOn w:val="Normal"/>
    <w:link w:val="stBilgiChar"/>
    <w:uiPriority w:val="99"/>
    <w:unhideWhenUsed/>
    <w:rsid w:val="00780E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0EE8"/>
    <w:rPr>
      <w:rFonts w:ascii="Calibri" w:eastAsia="Times New Roman" w:hAnsi="Calibri" w:cs="Times New Roman"/>
    </w:rPr>
  </w:style>
  <w:style w:type="paragraph" w:styleId="AltBilgi">
    <w:name w:val="footer"/>
    <w:basedOn w:val="Normal"/>
    <w:link w:val="AltBilgiChar"/>
    <w:uiPriority w:val="99"/>
    <w:unhideWhenUsed/>
    <w:rsid w:val="00780E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0EE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2020-06-15T13:43:00Z</dcterms:created>
  <dcterms:modified xsi:type="dcterms:W3CDTF">2020-06-15T13:43:00Z</dcterms:modified>
</cp:coreProperties>
</file>