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6DE3" w:rsidRDefault="006A6DE3" w:rsidP="006A6DE3">
      <w:pPr>
        <w:spacing w:after="200"/>
        <w:ind w:right="283"/>
        <w:jc w:val="center"/>
        <w:rPr>
          <w:b/>
          <w:bCs/>
          <w:caps/>
          <w:color w:val="010000"/>
          <w:szCs w:val="30"/>
        </w:rPr>
      </w:pPr>
      <w:r w:rsidRPr="006A6DE3">
        <w:rPr>
          <w:b/>
          <w:bCs/>
          <w:caps/>
          <w:color w:val="010000"/>
          <w:szCs w:val="19"/>
        </w:rPr>
        <w:t xml:space="preserve"> </w:t>
      </w:r>
      <w:r w:rsidRPr="006A6DE3">
        <w:rPr>
          <w:b/>
          <w:bCs/>
          <w:caps/>
          <w:color w:val="010000"/>
          <w:szCs w:val="30"/>
        </w:rPr>
        <w:t>ANAYASA MAHKEMESİ KARARI</w:t>
      </w:r>
    </w:p>
    <w:p w:rsidR="006A6DE3" w:rsidRPr="006A6DE3" w:rsidRDefault="006A6DE3" w:rsidP="006A6DE3">
      <w:pPr>
        <w:spacing w:after="200"/>
        <w:ind w:right="283" w:firstLine="709"/>
        <w:jc w:val="center"/>
        <w:rPr>
          <w:b/>
          <w:caps/>
          <w:color w:val="010000"/>
          <w:szCs w:val="30"/>
        </w:rPr>
      </w:pPr>
    </w:p>
    <w:p w:rsidR="006A6DE3" w:rsidRDefault="006A6DE3" w:rsidP="006A6DE3">
      <w:pPr>
        <w:rPr>
          <w:b/>
          <w:bCs/>
          <w:color w:val="010000"/>
          <w:szCs w:val="22"/>
        </w:rPr>
      </w:pPr>
      <w:r>
        <w:rPr>
          <w:b/>
          <w:bCs/>
          <w:color w:val="010000"/>
          <w:szCs w:val="22"/>
        </w:rPr>
        <w:t>Esas Sayısı:2013/14 (Siyasi Parti Mali Denetimi)</w:t>
      </w:r>
    </w:p>
    <w:p w:rsidR="006A6DE3" w:rsidRDefault="006A6DE3" w:rsidP="006A6DE3">
      <w:pPr>
        <w:rPr>
          <w:b/>
          <w:bCs/>
          <w:color w:val="010000"/>
          <w:szCs w:val="22"/>
        </w:rPr>
      </w:pPr>
      <w:r>
        <w:rPr>
          <w:b/>
          <w:bCs/>
          <w:color w:val="010000"/>
          <w:szCs w:val="22"/>
        </w:rPr>
        <w:t>Karar Sayısı:2014/64</w:t>
      </w:r>
    </w:p>
    <w:p w:rsidR="006A6DE3" w:rsidRDefault="006A6DE3" w:rsidP="006A6DE3">
      <w:pPr>
        <w:rPr>
          <w:b/>
          <w:bCs/>
          <w:color w:val="010000"/>
          <w:szCs w:val="22"/>
        </w:rPr>
      </w:pPr>
      <w:r>
        <w:rPr>
          <w:b/>
          <w:bCs/>
          <w:color w:val="010000"/>
          <w:szCs w:val="22"/>
        </w:rPr>
        <w:t>Karar Günü:2.10.2014</w:t>
      </w:r>
    </w:p>
    <w:p w:rsidR="006A6DE3" w:rsidRDefault="006A6DE3" w:rsidP="006A6DE3">
      <w:pPr>
        <w:rPr>
          <w:b/>
          <w:bCs/>
          <w:color w:val="010000"/>
          <w:szCs w:val="22"/>
        </w:rPr>
      </w:pPr>
      <w:r>
        <w:rPr>
          <w:b/>
          <w:bCs/>
          <w:color w:val="010000"/>
          <w:szCs w:val="22"/>
        </w:rPr>
        <w:t>R.G. Tarih-Sayı:6.12.2014-29197</w:t>
      </w:r>
    </w:p>
    <w:p w:rsidR="006A6DE3" w:rsidRPr="006A6DE3" w:rsidRDefault="006A6DE3" w:rsidP="006A6DE3">
      <w:pPr>
        <w:rPr>
          <w:b/>
          <w:bCs/>
          <w:color w:val="010000"/>
          <w:szCs w:val="22"/>
        </w:rPr>
      </w:pPr>
    </w:p>
    <w:p w:rsidR="006A6DE3" w:rsidRPr="006A6DE3" w:rsidRDefault="006A6DE3" w:rsidP="006A6DE3">
      <w:pPr>
        <w:spacing w:after="200"/>
        <w:ind w:right="283" w:firstLine="709"/>
        <w:jc w:val="both"/>
        <w:rPr>
          <w:color w:val="010000"/>
          <w:szCs w:val="22"/>
        </w:rPr>
      </w:pPr>
      <w:r w:rsidRPr="006A6DE3">
        <w:rPr>
          <w:b/>
          <w:bCs/>
          <w:color w:val="010000"/>
          <w:szCs w:val="22"/>
        </w:rPr>
        <w:t>I- MALİ DENETİMİN KONUSU</w:t>
      </w:r>
    </w:p>
    <w:p w:rsidR="006A6DE3" w:rsidRPr="006A6DE3" w:rsidRDefault="006A6DE3" w:rsidP="006A6DE3">
      <w:pPr>
        <w:spacing w:after="200"/>
        <w:ind w:right="283" w:firstLine="709"/>
        <w:jc w:val="both"/>
        <w:rPr>
          <w:color w:val="010000"/>
          <w:szCs w:val="19"/>
        </w:rPr>
      </w:pPr>
      <w:r w:rsidRPr="006A6DE3">
        <w:rPr>
          <w:color w:val="010000"/>
          <w:szCs w:val="19"/>
        </w:rPr>
        <w:t>Gönül Birliği Yeşiller Partisi 2012 yılı kesin hesabının incelenmesidir.</w:t>
      </w:r>
    </w:p>
    <w:p w:rsidR="006A6DE3" w:rsidRPr="006A6DE3" w:rsidRDefault="006A6DE3" w:rsidP="006A6DE3">
      <w:pPr>
        <w:spacing w:after="200"/>
        <w:ind w:right="283" w:firstLine="709"/>
        <w:jc w:val="both"/>
        <w:rPr>
          <w:color w:val="010000"/>
          <w:szCs w:val="22"/>
        </w:rPr>
      </w:pPr>
      <w:r w:rsidRPr="006A6DE3">
        <w:rPr>
          <w:b/>
          <w:bCs/>
          <w:color w:val="010000"/>
          <w:szCs w:val="22"/>
        </w:rPr>
        <w:t>II- İLK İNCELEME</w:t>
      </w:r>
    </w:p>
    <w:p w:rsidR="006A6DE3" w:rsidRPr="006A6DE3" w:rsidRDefault="006A6DE3" w:rsidP="006A6DE3">
      <w:pPr>
        <w:spacing w:after="200"/>
        <w:ind w:right="283" w:firstLine="709"/>
        <w:jc w:val="both"/>
        <w:rPr>
          <w:color w:val="010000"/>
          <w:szCs w:val="19"/>
        </w:rPr>
      </w:pPr>
      <w:r w:rsidRPr="006A6DE3">
        <w:rPr>
          <w:color w:val="010000"/>
          <w:szCs w:val="19"/>
        </w:rPr>
        <w:t xml:space="preserve">Anayasa Mahkemesi İçtüzüğü hükümleri uyarınca Haşim KILIÇ, </w:t>
      </w:r>
      <w:proofErr w:type="spellStart"/>
      <w:r w:rsidRPr="006A6DE3">
        <w:rPr>
          <w:color w:val="010000"/>
          <w:szCs w:val="19"/>
        </w:rPr>
        <w:t>Serruh</w:t>
      </w:r>
      <w:proofErr w:type="spellEnd"/>
      <w:r w:rsidRPr="006A6DE3">
        <w:rPr>
          <w:color w:val="010000"/>
          <w:szCs w:val="19"/>
        </w:rPr>
        <w:t xml:space="preserve"> KALELİ, Alparslan ALTAN, Serdar ÖZGÜLDÜR, Osman </w:t>
      </w:r>
      <w:proofErr w:type="spellStart"/>
      <w:r w:rsidRPr="006A6DE3">
        <w:rPr>
          <w:color w:val="010000"/>
          <w:szCs w:val="19"/>
        </w:rPr>
        <w:t>Alifeyyaz</w:t>
      </w:r>
      <w:proofErr w:type="spellEnd"/>
      <w:r w:rsidRPr="006A6DE3">
        <w:rPr>
          <w:color w:val="010000"/>
          <w:szCs w:val="19"/>
        </w:rPr>
        <w:t xml:space="preserve"> PAKSÜT, Zehra Ayla PERKTAŞ, Recep KÖMÜRCÜ, Burhan ÜSTÜN, Engin YILDIRIM, Nuri NECİPOĞLU, Celal Mümtaz AKINCI, Erdal TERCAN, Muammer TOPAL, Zühtü ARSLAN ve M. Emin </w:t>
      </w:r>
      <w:proofErr w:type="spellStart"/>
      <w:r w:rsidRPr="006A6DE3">
        <w:rPr>
          <w:color w:val="010000"/>
          <w:szCs w:val="19"/>
        </w:rPr>
        <w:t>KUZ’un</w:t>
      </w:r>
      <w:proofErr w:type="spellEnd"/>
      <w:r w:rsidRPr="006A6DE3">
        <w:rPr>
          <w:color w:val="010000"/>
          <w:szCs w:val="19"/>
        </w:rPr>
        <w:t xml:space="preserve"> katılımlarıyla 11.2.2014 gününde yapılan ilk inceleme toplantısında öncelikle suç duyurusunda bulunulup bulunulmayacağı sorunu görüşülmüştür.</w:t>
      </w:r>
    </w:p>
    <w:p w:rsidR="006A6DE3" w:rsidRPr="006A6DE3" w:rsidRDefault="006A6DE3" w:rsidP="006A6DE3">
      <w:pPr>
        <w:spacing w:after="200"/>
        <w:ind w:right="283" w:firstLine="709"/>
        <w:jc w:val="both"/>
        <w:rPr>
          <w:color w:val="010000"/>
          <w:szCs w:val="19"/>
        </w:rPr>
      </w:pPr>
      <w:r w:rsidRPr="006A6DE3">
        <w:rPr>
          <w:color w:val="010000"/>
          <w:szCs w:val="19"/>
        </w:rPr>
        <w:t xml:space="preserve">2820 sayılı Siyasi Partiler Kanunu’nun 73. maddesinin üçüncü fıkrasında </w:t>
      </w:r>
      <w:r w:rsidRPr="006A6DE3">
        <w:rPr>
          <w:i/>
          <w:color w:val="010000"/>
          <w:szCs w:val="19"/>
        </w:rPr>
        <w:t>“İller teşkilatından gönderilenler ve parti merkezine ait olan kesin hesapların, Merkez Karar ve Yönetim Kurulunca incelenerek karara bağlanacağı”</w:t>
      </w:r>
      <w:r w:rsidRPr="006A6DE3">
        <w:rPr>
          <w:color w:val="010000"/>
          <w:szCs w:val="19"/>
        </w:rPr>
        <w:t xml:space="preserve"> öngörülmüş ve aynı Kanun’un 74. maddesinin ikinci fıkrasında da </w:t>
      </w:r>
      <w:r w:rsidRPr="006A6DE3">
        <w:rPr>
          <w:i/>
          <w:color w:val="010000"/>
          <w:szCs w:val="19"/>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6A6DE3">
        <w:rPr>
          <w:color w:val="010000"/>
          <w:szCs w:val="19"/>
        </w:rPr>
        <w:t xml:space="preserve"> </w:t>
      </w:r>
      <w:r w:rsidRPr="006A6DE3">
        <w:rPr>
          <w:color w:val="010000"/>
          <w:szCs w:val="19"/>
        </w:rPr>
        <w:t>denilerek il örgütlerinden gönderilen kesin hesaplar ile parti genel merkezine ilişkin kesin hesabın Merkez Karar ve Yönetim Kurulunca incelenerek karara bağlanacağını ve birleştirileceğini ve birleştirilmiş kesin hesap cetvellerinin Anayasa Mahkemesine sunulacağı hükme bağlanmıştır.</w:t>
      </w:r>
    </w:p>
    <w:p w:rsidR="006A6DE3" w:rsidRPr="006A6DE3" w:rsidRDefault="006A6DE3" w:rsidP="006A6DE3">
      <w:pPr>
        <w:pStyle w:val="GvdeMetniGirintisi2"/>
        <w:spacing w:after="200"/>
        <w:ind w:left="0" w:right="283" w:firstLine="709"/>
        <w:jc w:val="both"/>
        <w:rPr>
          <w:color w:val="010000"/>
          <w:szCs w:val="19"/>
        </w:rPr>
      </w:pPr>
      <w:r w:rsidRPr="006A6DE3">
        <w:rPr>
          <w:color w:val="010000"/>
          <w:szCs w:val="19"/>
        </w:rPr>
        <w:t>Yargıtay Cumhuriyet Başsavcılığının 19.2.2013 tarih ve</w:t>
      </w:r>
      <w:r w:rsidRPr="006A6DE3">
        <w:rPr>
          <w:color w:val="010000"/>
          <w:szCs w:val="19"/>
        </w:rPr>
        <w:t xml:space="preserve"> </w:t>
      </w:r>
      <w:r w:rsidRPr="006A6DE3">
        <w:rPr>
          <w:color w:val="010000"/>
          <w:szCs w:val="19"/>
        </w:rPr>
        <w:t xml:space="preserve">C.02.0.CBS.0.01.02.04/218 sayılı yazılarına ekli listede Gönül Birliği Yeşiller Partisinin Genel Merkez dışında İstanbul ilinde örgütlendiği belirtilmesine rağmen, 2012 yılı içerisinde bu örgüte ait </w:t>
      </w:r>
      <w:proofErr w:type="gramStart"/>
      <w:r w:rsidRPr="006A6DE3">
        <w:rPr>
          <w:color w:val="010000"/>
          <w:szCs w:val="19"/>
        </w:rPr>
        <w:t>her hangi</w:t>
      </w:r>
      <w:proofErr w:type="gramEnd"/>
      <w:r w:rsidRPr="006A6DE3">
        <w:rPr>
          <w:color w:val="010000"/>
          <w:szCs w:val="19"/>
        </w:rPr>
        <w:t xml:space="preserve"> bir gelir ve giderin gerçekleşmediği ifade edilerek 2012 yılı kesin hesaplarının gönderilmediği tespit edilmiştir.</w:t>
      </w:r>
    </w:p>
    <w:p w:rsidR="006A6DE3" w:rsidRPr="006A6DE3" w:rsidRDefault="006A6DE3" w:rsidP="006A6DE3">
      <w:pPr>
        <w:pStyle w:val="GvdeMetniGirintisi2"/>
        <w:spacing w:after="200"/>
        <w:ind w:left="0" w:right="283" w:firstLine="709"/>
        <w:jc w:val="both"/>
        <w:rPr>
          <w:color w:val="010000"/>
          <w:szCs w:val="19"/>
        </w:rPr>
      </w:pPr>
      <w:r w:rsidRPr="006A6DE3">
        <w:rPr>
          <w:color w:val="010000"/>
          <w:szCs w:val="19"/>
        </w:rPr>
        <w:t>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6A6DE3" w:rsidRPr="006A6DE3" w:rsidRDefault="006A6DE3" w:rsidP="006A6DE3">
      <w:pPr>
        <w:pStyle w:val="GvdeMetniGirintisi2"/>
        <w:spacing w:after="200"/>
        <w:ind w:left="0" w:right="283" w:firstLine="709"/>
        <w:jc w:val="both"/>
        <w:rPr>
          <w:color w:val="010000"/>
          <w:szCs w:val="19"/>
        </w:rPr>
      </w:pPr>
      <w:r w:rsidRPr="006A6DE3">
        <w:rPr>
          <w:color w:val="010000"/>
          <w:szCs w:val="19"/>
        </w:rPr>
        <w:t>Ayrıca, partilerin genel merkez, il, ilçe ve belde başkanlıklarının hayatın olağan akışı gereği kira, su, elektrik, posta, telefon, kırtasiye, tutulacak defterlerin satın alınması vb. bir takım genel yönetim giderlerini de yapması gerekir.</w:t>
      </w:r>
      <w:r w:rsidRPr="006A6DE3">
        <w:rPr>
          <w:color w:val="010000"/>
          <w:szCs w:val="19"/>
        </w:rPr>
        <w:t xml:space="preserve"> </w:t>
      </w:r>
    </w:p>
    <w:p w:rsidR="006A6DE3" w:rsidRPr="006A6DE3" w:rsidRDefault="006A6DE3" w:rsidP="006A6DE3">
      <w:pPr>
        <w:pStyle w:val="GvdeMetniGirintisi2"/>
        <w:spacing w:after="200"/>
        <w:ind w:left="0" w:right="283" w:firstLine="709"/>
        <w:jc w:val="both"/>
        <w:rPr>
          <w:color w:val="010000"/>
          <w:szCs w:val="19"/>
        </w:rPr>
      </w:pPr>
      <w:r w:rsidRPr="006A6DE3">
        <w:rPr>
          <w:color w:val="010000"/>
          <w:szCs w:val="19"/>
        </w:rPr>
        <w:t xml:space="preserve">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w:t>
      </w:r>
      <w:r w:rsidRPr="006A6DE3">
        <w:rPr>
          <w:color w:val="010000"/>
          <w:szCs w:val="19"/>
        </w:rPr>
        <w:lastRenderedPageBreak/>
        <w:t>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6A6DE3">
        <w:rPr>
          <w:color w:val="010000"/>
          <w:szCs w:val="19"/>
        </w:rPr>
        <w:t xml:space="preserve"> </w:t>
      </w:r>
    </w:p>
    <w:p w:rsidR="006A6DE3" w:rsidRPr="006A6DE3" w:rsidRDefault="006A6DE3" w:rsidP="006A6DE3">
      <w:pPr>
        <w:pStyle w:val="GvdeMetniGirintisi2"/>
        <w:spacing w:after="200"/>
        <w:ind w:left="0" w:right="283" w:firstLine="709"/>
        <w:jc w:val="both"/>
        <w:rPr>
          <w:color w:val="010000"/>
          <w:szCs w:val="19"/>
        </w:rPr>
      </w:pPr>
      <w:r w:rsidRPr="006A6DE3">
        <w:rPr>
          <w:color w:val="010000"/>
          <w:szCs w:val="19"/>
        </w:rPr>
        <w:t>Yönetim giderlerinin hesaplarda görülmemesi kayıt dışı gelir ve gider oluşturulmuş olduğunu göstermektedir. Bu durumda, 2820 sayılı Kanun’un 69. ve 70. maddelerine aykırı davranılmış olmaktadır.</w:t>
      </w:r>
    </w:p>
    <w:p w:rsidR="006A6DE3" w:rsidRPr="006A6DE3" w:rsidRDefault="006A6DE3" w:rsidP="006A6DE3">
      <w:pPr>
        <w:pStyle w:val="GvdeMetniGirintisi2"/>
        <w:spacing w:after="200"/>
        <w:ind w:left="0" w:right="283" w:firstLine="709"/>
        <w:jc w:val="both"/>
        <w:rPr>
          <w:color w:val="010000"/>
          <w:szCs w:val="19"/>
        </w:rPr>
      </w:pPr>
      <w:r w:rsidRPr="006A6DE3">
        <w:rPr>
          <w:color w:val="010000"/>
          <w:szCs w:val="19"/>
        </w:rPr>
        <w:t>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6A6DE3" w:rsidRPr="006A6DE3" w:rsidRDefault="006A6DE3" w:rsidP="006A6DE3">
      <w:pPr>
        <w:spacing w:after="200"/>
        <w:ind w:right="283" w:firstLine="709"/>
        <w:jc w:val="both"/>
        <w:rPr>
          <w:color w:val="010000"/>
          <w:szCs w:val="19"/>
        </w:rPr>
      </w:pPr>
      <w:r w:rsidRPr="006A6DE3">
        <w:rPr>
          <w:color w:val="010000"/>
          <w:szCs w:val="19"/>
        </w:rPr>
        <w:t>Bu itibarla Gönül Birliği Yeşiller Partisinin 2012 yılı kesin hesabının incelenmesi sonucunda;</w:t>
      </w:r>
    </w:p>
    <w:p w:rsidR="006A6DE3" w:rsidRPr="006A6DE3" w:rsidRDefault="006A6DE3" w:rsidP="006A6DE3">
      <w:pPr>
        <w:spacing w:after="200"/>
        <w:ind w:right="283" w:firstLine="709"/>
        <w:jc w:val="both"/>
        <w:rPr>
          <w:color w:val="010000"/>
          <w:szCs w:val="19"/>
        </w:rPr>
      </w:pPr>
      <w:r w:rsidRPr="006A6DE3">
        <w:rPr>
          <w:color w:val="010000"/>
          <w:szCs w:val="19"/>
        </w:rPr>
        <w:t>1- Genel Merkeze ait kesin hesapların sunulmasından dolayı işin esasının incelenmesine,</w:t>
      </w:r>
    </w:p>
    <w:p w:rsidR="006A6DE3" w:rsidRPr="006A6DE3" w:rsidRDefault="006A6DE3" w:rsidP="006A6DE3">
      <w:pPr>
        <w:pStyle w:val="listeparagrafcxspilk"/>
        <w:spacing w:before="0" w:beforeAutospacing="0" w:after="200" w:afterAutospacing="0"/>
        <w:ind w:right="283" w:firstLine="709"/>
        <w:contextualSpacing/>
        <w:jc w:val="both"/>
        <w:rPr>
          <w:color w:val="010000"/>
          <w:szCs w:val="19"/>
        </w:rPr>
      </w:pPr>
      <w:r w:rsidRPr="006A6DE3">
        <w:rPr>
          <w:color w:val="010000"/>
          <w:szCs w:val="19"/>
        </w:rPr>
        <w:t>2- Esas incelemenin yapılması için, Genel Merkez kesin hesabının dayanağını oluşturan gelir-gider belgeleri ile bu belgelerin kaydedildiği defterleri Sayıştay Başkanlığına göndermesi için Partiye bu kararın tebliğinden itibaren 30 gün süre verilmesine,</w:t>
      </w:r>
    </w:p>
    <w:p w:rsidR="006A6DE3" w:rsidRPr="006A6DE3" w:rsidRDefault="006A6DE3" w:rsidP="006A6DE3">
      <w:pPr>
        <w:pStyle w:val="listeparagrafcxsporta"/>
        <w:spacing w:before="0" w:beforeAutospacing="0" w:after="200" w:afterAutospacing="0"/>
        <w:ind w:right="283" w:firstLine="709"/>
        <w:contextualSpacing/>
        <w:jc w:val="both"/>
        <w:rPr>
          <w:color w:val="010000"/>
          <w:szCs w:val="19"/>
        </w:rPr>
      </w:pPr>
      <w:r w:rsidRPr="006A6DE3">
        <w:rPr>
          <w:color w:val="010000"/>
          <w:szCs w:val="19"/>
        </w:rPr>
        <w:t>3-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w:t>
      </w:r>
    </w:p>
    <w:p w:rsidR="006A6DE3" w:rsidRPr="006A6DE3" w:rsidRDefault="006A6DE3" w:rsidP="006A6DE3">
      <w:pPr>
        <w:pStyle w:val="listeparagrafcxsporta"/>
        <w:spacing w:before="0" w:beforeAutospacing="0" w:after="200" w:afterAutospacing="0"/>
        <w:ind w:right="283" w:firstLine="709"/>
        <w:contextualSpacing/>
        <w:jc w:val="both"/>
        <w:rPr>
          <w:color w:val="010000"/>
          <w:szCs w:val="19"/>
        </w:rPr>
      </w:pPr>
      <w:r w:rsidRPr="006A6DE3">
        <w:rPr>
          <w:color w:val="010000"/>
          <w:szCs w:val="19"/>
        </w:rPr>
        <w:t xml:space="preserve">OYBİRLİĞİYLE karar verilmiştir. </w:t>
      </w:r>
    </w:p>
    <w:p w:rsidR="006A6DE3" w:rsidRPr="006A6DE3" w:rsidRDefault="006A6DE3" w:rsidP="006A6DE3">
      <w:pPr>
        <w:spacing w:after="200"/>
        <w:ind w:right="283" w:firstLine="709"/>
        <w:jc w:val="both"/>
        <w:rPr>
          <w:color w:val="010000"/>
          <w:szCs w:val="22"/>
        </w:rPr>
      </w:pPr>
      <w:r w:rsidRPr="006A6DE3">
        <w:rPr>
          <w:b/>
          <w:bCs/>
          <w:color w:val="010000"/>
          <w:szCs w:val="22"/>
        </w:rPr>
        <w:t>III- ESASIN İNCELENMESİ</w:t>
      </w:r>
    </w:p>
    <w:p w:rsidR="006A6DE3" w:rsidRPr="006A6DE3" w:rsidRDefault="006A6DE3" w:rsidP="006A6DE3">
      <w:pPr>
        <w:spacing w:after="200"/>
        <w:ind w:right="283" w:firstLine="709"/>
        <w:jc w:val="both"/>
        <w:rPr>
          <w:color w:val="010000"/>
          <w:szCs w:val="19"/>
        </w:rPr>
      </w:pPr>
      <w:r w:rsidRPr="006A6DE3">
        <w:rPr>
          <w:color w:val="010000"/>
          <w:szCs w:val="19"/>
        </w:rPr>
        <w:t>Gönül Birliği Yeşiller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Kanun’un ilgili kuralları, bunların gerekçeleri ve diğer yasama belgeleri okunup incelendikten sonra gereği görüşülüp düşünüldü:</w:t>
      </w:r>
    </w:p>
    <w:p w:rsidR="006A6DE3" w:rsidRPr="006A6DE3" w:rsidRDefault="006A6DE3" w:rsidP="006A6DE3">
      <w:pPr>
        <w:spacing w:after="200"/>
        <w:ind w:right="283" w:firstLine="709"/>
        <w:jc w:val="both"/>
        <w:rPr>
          <w:color w:val="010000"/>
          <w:szCs w:val="19"/>
        </w:rPr>
      </w:pPr>
      <w:r w:rsidRPr="006A6DE3">
        <w:rPr>
          <w:color w:val="010000"/>
          <w:szCs w:val="19"/>
        </w:rPr>
        <w:t>Denetimin maddi öğelerini oluşturan defter ve belgelerde Partinin 2012 yılı gelirlerinin 954,39 TL, giderlerinin 816,50 TL olduğu, nakit mevcudu olarak ise 2013 yılına devredilen tutarın 137,89 TL olduğu anlaşılmaktadır.</w:t>
      </w:r>
    </w:p>
    <w:p w:rsidR="006A6DE3" w:rsidRPr="006A6DE3" w:rsidRDefault="006A6DE3" w:rsidP="006A6DE3">
      <w:pPr>
        <w:spacing w:after="200"/>
        <w:ind w:right="283" w:firstLine="709"/>
        <w:jc w:val="both"/>
        <w:rPr>
          <w:color w:val="010000"/>
          <w:szCs w:val="19"/>
        </w:rPr>
      </w:pPr>
      <w:r w:rsidRPr="006A6DE3">
        <w:rPr>
          <w:color w:val="010000"/>
          <w:szCs w:val="19"/>
        </w:rPr>
        <w:t>Partinin 2012 yılı kesin hesabının gelir ve gider rakamlarının yukarıda açıklanan tutarlardan oluştuğu, bu hâliyle 2012 yılı kesin hesabının doğru, denk ve 2820 sayılı Kanun’a uygun olduğu sonucuna varılmıştır.</w:t>
      </w:r>
    </w:p>
    <w:p w:rsidR="006A6DE3" w:rsidRPr="006A6DE3" w:rsidRDefault="006A6DE3" w:rsidP="006A6DE3">
      <w:pPr>
        <w:spacing w:after="200"/>
        <w:ind w:right="283" w:firstLine="709"/>
        <w:jc w:val="both"/>
        <w:rPr>
          <w:color w:val="010000"/>
          <w:szCs w:val="22"/>
        </w:rPr>
      </w:pPr>
      <w:r w:rsidRPr="006A6DE3">
        <w:rPr>
          <w:b/>
          <w:bCs/>
          <w:color w:val="010000"/>
          <w:szCs w:val="22"/>
        </w:rPr>
        <w:t>A-</w:t>
      </w:r>
      <w:r w:rsidRPr="006A6DE3">
        <w:rPr>
          <w:color w:val="010000"/>
          <w:szCs w:val="22"/>
        </w:rPr>
        <w:t xml:space="preserve"> </w:t>
      </w:r>
      <w:r w:rsidRPr="006A6DE3">
        <w:rPr>
          <w:b/>
          <w:bCs/>
          <w:color w:val="010000"/>
          <w:szCs w:val="22"/>
        </w:rPr>
        <w:t>Gelirlerin İncelenmesi</w:t>
      </w:r>
    </w:p>
    <w:p w:rsidR="006A6DE3" w:rsidRPr="006A6DE3" w:rsidRDefault="006A6DE3" w:rsidP="006A6DE3">
      <w:pPr>
        <w:spacing w:after="200"/>
        <w:ind w:right="283" w:firstLine="709"/>
        <w:jc w:val="both"/>
        <w:rPr>
          <w:color w:val="010000"/>
          <w:szCs w:val="22"/>
        </w:rPr>
      </w:pPr>
      <w:r w:rsidRPr="006A6DE3">
        <w:rPr>
          <w:b/>
          <w:bCs/>
          <w:color w:val="010000"/>
          <w:szCs w:val="22"/>
        </w:rPr>
        <w:t>1- Genel Merkez Gelirleri</w:t>
      </w:r>
    </w:p>
    <w:p w:rsidR="006A6DE3" w:rsidRPr="006A6DE3" w:rsidRDefault="006A6DE3" w:rsidP="006A6DE3">
      <w:pPr>
        <w:spacing w:after="200"/>
        <w:ind w:right="283" w:firstLine="709"/>
        <w:jc w:val="both"/>
        <w:rPr>
          <w:color w:val="010000"/>
          <w:szCs w:val="19"/>
        </w:rPr>
      </w:pPr>
      <w:r w:rsidRPr="006A6DE3">
        <w:rPr>
          <w:color w:val="010000"/>
          <w:szCs w:val="19"/>
        </w:rPr>
        <w:lastRenderedPageBreak/>
        <w:t xml:space="preserve">Partinin Genel Merkez gelirleri 954,39 TL olarak gösterilmiş olup bunun 850,00 TL’si üye yıllık aidatı gelirlerinden, 104,39 TL’si geçen yıldan devreden nakit tutarından oluşmaktadır. </w:t>
      </w:r>
    </w:p>
    <w:p w:rsidR="006A6DE3" w:rsidRPr="006A6DE3" w:rsidRDefault="006A6DE3" w:rsidP="006A6DE3">
      <w:pPr>
        <w:spacing w:after="200"/>
        <w:ind w:right="283" w:firstLine="709"/>
        <w:jc w:val="both"/>
        <w:rPr>
          <w:color w:val="010000"/>
          <w:szCs w:val="19"/>
        </w:rPr>
      </w:pPr>
      <w:r w:rsidRPr="006A6DE3">
        <w:rPr>
          <w:color w:val="010000"/>
          <w:szCs w:val="19"/>
        </w:rPr>
        <w:t>Parti Genel Merkezinin defter kayıtları ve gelir belgeleri üzerinde yapılan incelemede, gelirlerin 2820 sayılı Kanun’a uygun olarak sağlandığı sonucuna varılmıştır.</w:t>
      </w:r>
    </w:p>
    <w:p w:rsidR="006A6DE3" w:rsidRPr="006A6DE3" w:rsidRDefault="006A6DE3" w:rsidP="006A6DE3">
      <w:pPr>
        <w:spacing w:after="200"/>
        <w:ind w:right="283" w:firstLine="709"/>
        <w:jc w:val="both"/>
        <w:rPr>
          <w:b/>
          <w:bCs/>
          <w:color w:val="010000"/>
          <w:szCs w:val="22"/>
        </w:rPr>
      </w:pPr>
      <w:r w:rsidRPr="006A6DE3">
        <w:rPr>
          <w:b/>
          <w:bCs/>
          <w:color w:val="010000"/>
          <w:szCs w:val="22"/>
        </w:rPr>
        <w:t>2- İl Örgütleri Gelirleri</w:t>
      </w:r>
    </w:p>
    <w:p w:rsidR="006A6DE3" w:rsidRPr="006A6DE3" w:rsidRDefault="006A6DE3" w:rsidP="006A6DE3">
      <w:pPr>
        <w:spacing w:after="200"/>
        <w:ind w:right="283" w:firstLine="709"/>
        <w:jc w:val="both"/>
        <w:rPr>
          <w:bCs/>
          <w:color w:val="010000"/>
          <w:szCs w:val="19"/>
        </w:rPr>
      </w:pPr>
      <w:r w:rsidRPr="006A6DE3">
        <w:rPr>
          <w:bCs/>
          <w:color w:val="010000"/>
          <w:szCs w:val="19"/>
        </w:rPr>
        <w:t xml:space="preserve">Partinin 2012 yılında il örgütlerine ilişkin </w:t>
      </w:r>
      <w:proofErr w:type="gramStart"/>
      <w:r w:rsidRPr="006A6DE3">
        <w:rPr>
          <w:bCs/>
          <w:color w:val="010000"/>
          <w:szCs w:val="19"/>
        </w:rPr>
        <w:t>her hangi</w:t>
      </w:r>
      <w:proofErr w:type="gramEnd"/>
      <w:r w:rsidRPr="006A6DE3">
        <w:rPr>
          <w:bCs/>
          <w:color w:val="010000"/>
          <w:szCs w:val="19"/>
        </w:rPr>
        <w:t xml:space="preserve"> bir geliri olmamıştır.</w:t>
      </w:r>
    </w:p>
    <w:p w:rsidR="006A6DE3" w:rsidRPr="006A6DE3" w:rsidRDefault="006A6DE3" w:rsidP="006A6DE3">
      <w:pPr>
        <w:spacing w:after="200"/>
        <w:ind w:right="283" w:firstLine="709"/>
        <w:jc w:val="both"/>
        <w:rPr>
          <w:color w:val="010000"/>
          <w:szCs w:val="22"/>
        </w:rPr>
      </w:pPr>
      <w:r w:rsidRPr="006A6DE3">
        <w:rPr>
          <w:b/>
          <w:bCs/>
          <w:color w:val="010000"/>
          <w:szCs w:val="22"/>
        </w:rPr>
        <w:t>B- Giderlerin İncelenmesi</w:t>
      </w:r>
    </w:p>
    <w:p w:rsidR="006A6DE3" w:rsidRPr="006A6DE3" w:rsidRDefault="006A6DE3" w:rsidP="006A6DE3">
      <w:pPr>
        <w:spacing w:after="200"/>
        <w:ind w:right="283" w:firstLine="709"/>
        <w:jc w:val="both"/>
        <w:rPr>
          <w:color w:val="010000"/>
          <w:szCs w:val="22"/>
        </w:rPr>
      </w:pPr>
      <w:r w:rsidRPr="006A6DE3">
        <w:rPr>
          <w:b/>
          <w:bCs/>
          <w:color w:val="010000"/>
          <w:szCs w:val="22"/>
        </w:rPr>
        <w:t>1- Genel Merkez Giderleri</w:t>
      </w:r>
    </w:p>
    <w:p w:rsidR="006A6DE3" w:rsidRPr="006A6DE3" w:rsidRDefault="006A6DE3" w:rsidP="006A6DE3">
      <w:pPr>
        <w:spacing w:after="200"/>
        <w:ind w:right="283" w:firstLine="709"/>
        <w:jc w:val="both"/>
        <w:rPr>
          <w:color w:val="010000"/>
          <w:szCs w:val="19"/>
        </w:rPr>
      </w:pPr>
      <w:r w:rsidRPr="006A6DE3">
        <w:rPr>
          <w:color w:val="010000"/>
          <w:szCs w:val="19"/>
        </w:rPr>
        <w:t>Partinin Genel Merkez giderleri toplamı 816,50 TL olup bunun 216,50 TL’si kırtasiye ve büro giderlerinden, 600 TL’si ise kira giderinden oluşmaktadır.</w:t>
      </w:r>
    </w:p>
    <w:p w:rsidR="006A6DE3" w:rsidRPr="006A6DE3" w:rsidRDefault="006A6DE3" w:rsidP="006A6DE3">
      <w:pPr>
        <w:spacing w:after="200"/>
        <w:ind w:right="283" w:firstLine="709"/>
        <w:jc w:val="both"/>
        <w:rPr>
          <w:color w:val="010000"/>
          <w:szCs w:val="19"/>
        </w:rPr>
      </w:pPr>
      <w:r w:rsidRPr="006A6DE3">
        <w:rPr>
          <w:color w:val="010000"/>
          <w:szCs w:val="19"/>
        </w:rPr>
        <w:t>Parti Genel Merkezinin 2013 yılına devreden nakit mevcudu 137,89 TL’dir.</w:t>
      </w:r>
    </w:p>
    <w:p w:rsidR="006A6DE3" w:rsidRPr="006A6DE3" w:rsidRDefault="006A6DE3" w:rsidP="006A6DE3">
      <w:pPr>
        <w:spacing w:after="200"/>
        <w:ind w:right="283" w:firstLine="709"/>
        <w:jc w:val="both"/>
        <w:rPr>
          <w:color w:val="010000"/>
          <w:szCs w:val="19"/>
        </w:rPr>
      </w:pPr>
      <w:r w:rsidRPr="006A6DE3">
        <w:rPr>
          <w:color w:val="010000"/>
          <w:szCs w:val="19"/>
        </w:rPr>
        <w:t>Parti Genel Merkezinin defter kayıtları ve gider belgeleri üzerinde yapılan incelemede, giderlerin 2820 sayılı Kanun’a uygun olarak gerçekleştirildiği sonucuna varılmıştır.</w:t>
      </w:r>
    </w:p>
    <w:p w:rsidR="006A6DE3" w:rsidRPr="006A6DE3" w:rsidRDefault="006A6DE3" w:rsidP="006A6DE3">
      <w:pPr>
        <w:spacing w:after="200"/>
        <w:ind w:right="283" w:firstLine="709"/>
        <w:jc w:val="both"/>
        <w:rPr>
          <w:b/>
          <w:bCs/>
          <w:color w:val="010000"/>
          <w:szCs w:val="22"/>
        </w:rPr>
      </w:pPr>
      <w:r w:rsidRPr="006A6DE3">
        <w:rPr>
          <w:b/>
          <w:bCs/>
          <w:color w:val="010000"/>
          <w:szCs w:val="22"/>
        </w:rPr>
        <w:t>2- İl Örgütleri Giderleri</w:t>
      </w:r>
    </w:p>
    <w:p w:rsidR="006A6DE3" w:rsidRPr="006A6DE3" w:rsidRDefault="006A6DE3" w:rsidP="006A6DE3">
      <w:pPr>
        <w:spacing w:after="200"/>
        <w:ind w:right="283" w:firstLine="709"/>
        <w:jc w:val="both"/>
        <w:rPr>
          <w:bCs/>
          <w:color w:val="010000"/>
          <w:szCs w:val="19"/>
        </w:rPr>
      </w:pPr>
      <w:r w:rsidRPr="006A6DE3">
        <w:rPr>
          <w:bCs/>
          <w:color w:val="010000"/>
          <w:szCs w:val="19"/>
        </w:rPr>
        <w:t xml:space="preserve">Partinin 2012 yılında il örgütlerine ilişkin </w:t>
      </w:r>
      <w:proofErr w:type="gramStart"/>
      <w:r w:rsidRPr="006A6DE3">
        <w:rPr>
          <w:bCs/>
          <w:color w:val="010000"/>
          <w:szCs w:val="19"/>
        </w:rPr>
        <w:t>her hangi</w:t>
      </w:r>
      <w:proofErr w:type="gramEnd"/>
      <w:r w:rsidRPr="006A6DE3">
        <w:rPr>
          <w:bCs/>
          <w:color w:val="010000"/>
          <w:szCs w:val="19"/>
        </w:rPr>
        <w:t xml:space="preserve"> bir gideri olmamıştır.</w:t>
      </w:r>
    </w:p>
    <w:p w:rsidR="006A6DE3" w:rsidRPr="006A6DE3" w:rsidRDefault="006A6DE3" w:rsidP="006A6DE3">
      <w:pPr>
        <w:spacing w:after="200"/>
        <w:ind w:right="283" w:firstLine="709"/>
        <w:jc w:val="both"/>
        <w:rPr>
          <w:b/>
          <w:bCs/>
          <w:color w:val="010000"/>
          <w:szCs w:val="22"/>
        </w:rPr>
      </w:pPr>
      <w:r w:rsidRPr="006A6DE3">
        <w:rPr>
          <w:b/>
          <w:bCs/>
          <w:color w:val="010000"/>
          <w:szCs w:val="22"/>
        </w:rPr>
        <w:t>C- Parti Mallarının İncelenmesi</w:t>
      </w:r>
    </w:p>
    <w:p w:rsidR="006A6DE3" w:rsidRPr="006A6DE3" w:rsidRDefault="006A6DE3" w:rsidP="006A6DE3">
      <w:pPr>
        <w:spacing w:after="200"/>
        <w:ind w:right="283" w:firstLine="709"/>
        <w:jc w:val="both"/>
        <w:rPr>
          <w:color w:val="010000"/>
          <w:szCs w:val="19"/>
        </w:rPr>
      </w:pPr>
      <w:r w:rsidRPr="006A6DE3">
        <w:rPr>
          <w:color w:val="010000"/>
          <w:szCs w:val="19"/>
        </w:rPr>
        <w:t>Partinin 2012 yılı defter ve belgeleri üzerinde yapılan incelemede, herhangi bir taşınmaz mal ve değeri 100 TL’yi aşan taşınır mal ve menkul kıymet ediniminin olmadığı anlaşılmıştır.</w:t>
      </w:r>
    </w:p>
    <w:p w:rsidR="006A6DE3" w:rsidRPr="006A6DE3" w:rsidRDefault="006A6DE3" w:rsidP="006A6DE3">
      <w:pPr>
        <w:spacing w:after="200"/>
        <w:ind w:right="283" w:firstLine="709"/>
        <w:jc w:val="both"/>
        <w:rPr>
          <w:color w:val="010000"/>
          <w:szCs w:val="22"/>
        </w:rPr>
      </w:pPr>
      <w:r w:rsidRPr="006A6DE3">
        <w:rPr>
          <w:b/>
          <w:bCs/>
          <w:color w:val="010000"/>
          <w:szCs w:val="22"/>
        </w:rPr>
        <w:t>IV- SONUÇ</w:t>
      </w:r>
    </w:p>
    <w:p w:rsidR="006A6DE3" w:rsidRPr="006A6DE3" w:rsidRDefault="006A6DE3" w:rsidP="006A6DE3">
      <w:pPr>
        <w:spacing w:after="200"/>
        <w:ind w:right="283" w:firstLine="709"/>
        <w:jc w:val="both"/>
        <w:rPr>
          <w:color w:val="010000"/>
          <w:szCs w:val="19"/>
        </w:rPr>
      </w:pPr>
      <w:r w:rsidRPr="006A6DE3">
        <w:rPr>
          <w:color w:val="010000"/>
          <w:szCs w:val="19"/>
        </w:rPr>
        <w:t>Gönül Birliği Yeşiller Partisinin 2012 yılı kesin hesabının incelenmesi sonucunda;</w:t>
      </w:r>
    </w:p>
    <w:p w:rsidR="006A6DE3" w:rsidRPr="006A6DE3" w:rsidRDefault="006A6DE3" w:rsidP="006A6DE3">
      <w:pPr>
        <w:spacing w:after="200"/>
        <w:ind w:right="283" w:firstLine="709"/>
        <w:jc w:val="both"/>
        <w:rPr>
          <w:color w:val="010000"/>
          <w:szCs w:val="19"/>
        </w:rPr>
      </w:pPr>
      <w:r w:rsidRPr="006A6DE3">
        <w:rPr>
          <w:color w:val="010000"/>
          <w:szCs w:val="19"/>
        </w:rPr>
        <w:t>Partinin 2012 yılı kesin hesabında gösterilen 954,39 TL gelir ve 816,50 TL giderin eldeki bilgi ve belgelere göre doğru, denk ve 2820 sayılı Siyasi Partiler Kanunu’na uygun olduğuna, 2.10.2014 gününde OYBİRLİĞİYLE karar verildi.</w:t>
      </w:r>
    </w:p>
    <w:p w:rsidR="006A6DE3" w:rsidRPr="006A6DE3" w:rsidRDefault="006A6DE3" w:rsidP="006A6DE3">
      <w:pPr>
        <w:spacing w:after="200"/>
        <w:ind w:right="283" w:firstLine="709"/>
        <w:jc w:val="both"/>
        <w:rPr>
          <w:color w:val="010000"/>
          <w:szCs w:val="19"/>
        </w:rPr>
      </w:pPr>
    </w:p>
    <w:p w:rsidR="006A6DE3" w:rsidRDefault="006A6DE3">
      <w:bookmarkStart w:id="0" w:name="_GoBack"/>
      <w:bookmarkEnd w:id="0"/>
    </w:p>
    <w:tbl>
      <w:tblPr>
        <w:tblW w:w="5000" w:type="pct"/>
        <w:jc w:val="center"/>
        <w:tblCellMar>
          <w:left w:w="0" w:type="dxa"/>
          <w:right w:w="0" w:type="dxa"/>
        </w:tblCellMar>
        <w:tblLook w:val="04A0" w:firstRow="1" w:lastRow="0" w:firstColumn="1" w:lastColumn="0" w:noHBand="0" w:noVBand="1"/>
      </w:tblPr>
      <w:tblGrid>
        <w:gridCol w:w="49"/>
        <w:gridCol w:w="3278"/>
        <w:gridCol w:w="55"/>
        <w:gridCol w:w="27"/>
        <w:gridCol w:w="1399"/>
        <w:gridCol w:w="74"/>
        <w:gridCol w:w="1825"/>
        <w:gridCol w:w="129"/>
        <w:gridCol w:w="2887"/>
        <w:gridCol w:w="57"/>
      </w:tblGrid>
      <w:tr w:rsidR="006A6DE3" w:rsidRPr="006A6DE3" w:rsidTr="006A6DE3">
        <w:trPr>
          <w:jc w:val="center"/>
        </w:trPr>
        <w:tc>
          <w:tcPr>
            <w:tcW w:w="1743" w:type="pct"/>
            <w:gridSpan w:val="4"/>
            <w:tcMar>
              <w:top w:w="0" w:type="dxa"/>
              <w:left w:w="108" w:type="dxa"/>
              <w:bottom w:w="0" w:type="dxa"/>
              <w:right w:w="108" w:type="dxa"/>
            </w:tcMar>
          </w:tcPr>
          <w:p w:rsidR="006A6DE3" w:rsidRPr="006A6DE3" w:rsidRDefault="006A6DE3" w:rsidP="006A6DE3">
            <w:pPr>
              <w:spacing w:before="240" w:after="240"/>
              <w:jc w:val="center"/>
              <w:rPr>
                <w:color w:val="010000"/>
                <w:szCs w:val="19"/>
              </w:rPr>
            </w:pPr>
            <w:r w:rsidRPr="006A6DE3">
              <w:rPr>
                <w:color w:val="010000"/>
                <w:szCs w:val="19"/>
              </w:rPr>
              <w:t>Başkanvekili</w:t>
            </w:r>
          </w:p>
          <w:p w:rsidR="006A6DE3" w:rsidRPr="006A6DE3" w:rsidRDefault="006A6DE3" w:rsidP="006A6DE3">
            <w:pPr>
              <w:spacing w:before="240" w:after="240"/>
              <w:jc w:val="center"/>
              <w:rPr>
                <w:color w:val="010000"/>
                <w:szCs w:val="19"/>
              </w:rPr>
            </w:pPr>
            <w:proofErr w:type="spellStart"/>
            <w:r w:rsidRPr="006A6DE3">
              <w:rPr>
                <w:color w:val="010000"/>
                <w:szCs w:val="19"/>
              </w:rPr>
              <w:t>Serruh</w:t>
            </w:r>
            <w:proofErr w:type="spellEnd"/>
            <w:r w:rsidRPr="006A6DE3">
              <w:rPr>
                <w:color w:val="010000"/>
                <w:szCs w:val="19"/>
              </w:rPr>
              <w:t xml:space="preserve"> KALELİ</w:t>
            </w:r>
          </w:p>
        </w:tc>
        <w:tc>
          <w:tcPr>
            <w:tcW w:w="1686" w:type="pct"/>
            <w:gridSpan w:val="3"/>
            <w:tcMar>
              <w:top w:w="0" w:type="dxa"/>
              <w:left w:w="108" w:type="dxa"/>
              <w:bottom w:w="0" w:type="dxa"/>
              <w:right w:w="108" w:type="dxa"/>
            </w:tcMar>
          </w:tcPr>
          <w:p w:rsidR="006A6DE3" w:rsidRPr="006A6DE3" w:rsidRDefault="006A6DE3" w:rsidP="006A6DE3">
            <w:pPr>
              <w:spacing w:before="240" w:after="240"/>
              <w:jc w:val="center"/>
              <w:rPr>
                <w:color w:val="010000"/>
                <w:szCs w:val="19"/>
              </w:rPr>
            </w:pPr>
            <w:r w:rsidRPr="006A6DE3">
              <w:rPr>
                <w:color w:val="010000"/>
                <w:szCs w:val="19"/>
              </w:rPr>
              <w:t>Üye</w:t>
            </w:r>
          </w:p>
          <w:p w:rsidR="006A6DE3" w:rsidRPr="006A6DE3" w:rsidRDefault="006A6DE3" w:rsidP="006A6DE3">
            <w:pPr>
              <w:spacing w:before="240" w:after="240"/>
              <w:jc w:val="center"/>
              <w:rPr>
                <w:color w:val="010000"/>
                <w:szCs w:val="19"/>
              </w:rPr>
            </w:pPr>
            <w:r w:rsidRPr="006A6DE3">
              <w:rPr>
                <w:color w:val="010000"/>
                <w:szCs w:val="19"/>
              </w:rPr>
              <w:t xml:space="preserve">Osman </w:t>
            </w:r>
            <w:proofErr w:type="spellStart"/>
            <w:r w:rsidRPr="006A6DE3">
              <w:rPr>
                <w:color w:val="010000"/>
                <w:szCs w:val="19"/>
              </w:rPr>
              <w:t>Alifeyyaz</w:t>
            </w:r>
            <w:proofErr w:type="spellEnd"/>
            <w:r w:rsidRPr="006A6DE3">
              <w:rPr>
                <w:color w:val="010000"/>
                <w:szCs w:val="19"/>
              </w:rPr>
              <w:t xml:space="preserve"> PAKSÜT</w:t>
            </w:r>
          </w:p>
        </w:tc>
        <w:tc>
          <w:tcPr>
            <w:tcW w:w="1571" w:type="pct"/>
            <w:gridSpan w:val="3"/>
            <w:tcMar>
              <w:top w:w="0" w:type="dxa"/>
              <w:left w:w="108" w:type="dxa"/>
              <w:bottom w:w="0" w:type="dxa"/>
              <w:right w:w="108" w:type="dxa"/>
            </w:tcMar>
          </w:tcPr>
          <w:p w:rsidR="006A6DE3" w:rsidRPr="006A6DE3" w:rsidRDefault="006A6DE3" w:rsidP="006A6DE3">
            <w:pPr>
              <w:spacing w:before="240" w:after="240"/>
              <w:jc w:val="center"/>
              <w:rPr>
                <w:color w:val="010000"/>
                <w:szCs w:val="19"/>
              </w:rPr>
            </w:pPr>
            <w:r w:rsidRPr="006A6DE3">
              <w:rPr>
                <w:color w:val="010000"/>
                <w:szCs w:val="19"/>
              </w:rPr>
              <w:t>Üye</w:t>
            </w:r>
          </w:p>
          <w:p w:rsidR="006A6DE3" w:rsidRPr="006A6DE3" w:rsidRDefault="006A6DE3" w:rsidP="006A6DE3">
            <w:pPr>
              <w:spacing w:before="240" w:after="240"/>
              <w:jc w:val="center"/>
              <w:rPr>
                <w:color w:val="010000"/>
                <w:szCs w:val="19"/>
              </w:rPr>
            </w:pPr>
            <w:r w:rsidRPr="006A6DE3">
              <w:rPr>
                <w:color w:val="010000"/>
                <w:szCs w:val="19"/>
              </w:rPr>
              <w:t>Zehra Ayla PERKTAŞ</w:t>
            </w:r>
          </w:p>
        </w:tc>
      </w:tr>
      <w:tr w:rsidR="006A6DE3" w:rsidRPr="006A6DE3" w:rsidTr="006A6DE3">
        <w:trPr>
          <w:gridBefore w:val="1"/>
          <w:gridAfter w:val="1"/>
          <w:wBefore w:w="25" w:type="pct"/>
          <w:wAfter w:w="29" w:type="pct"/>
          <w:jc w:val="center"/>
        </w:trPr>
        <w:tc>
          <w:tcPr>
            <w:tcW w:w="1676" w:type="pct"/>
            <w:tcMar>
              <w:top w:w="0" w:type="dxa"/>
              <w:left w:w="70" w:type="dxa"/>
              <w:bottom w:w="0" w:type="dxa"/>
              <w:right w:w="70" w:type="dxa"/>
            </w:tcMar>
          </w:tcPr>
          <w:p w:rsidR="006A6DE3" w:rsidRPr="006A6DE3" w:rsidRDefault="006A6DE3" w:rsidP="006A6DE3">
            <w:pPr>
              <w:spacing w:before="240" w:after="240"/>
              <w:jc w:val="center"/>
              <w:rPr>
                <w:color w:val="010000"/>
                <w:szCs w:val="19"/>
              </w:rPr>
            </w:pPr>
            <w:r w:rsidRPr="006A6DE3">
              <w:rPr>
                <w:color w:val="010000"/>
                <w:szCs w:val="19"/>
              </w:rPr>
              <w:t>Üye</w:t>
            </w:r>
          </w:p>
          <w:p w:rsidR="006A6DE3" w:rsidRPr="006A6DE3" w:rsidRDefault="006A6DE3" w:rsidP="006A6DE3">
            <w:pPr>
              <w:spacing w:before="240" w:after="240"/>
              <w:jc w:val="center"/>
              <w:rPr>
                <w:color w:val="010000"/>
                <w:szCs w:val="19"/>
              </w:rPr>
            </w:pPr>
            <w:r w:rsidRPr="006A6DE3">
              <w:rPr>
                <w:color w:val="010000"/>
                <w:szCs w:val="19"/>
              </w:rPr>
              <w:t>Recep KÖMÜRCÜ</w:t>
            </w:r>
          </w:p>
        </w:tc>
        <w:tc>
          <w:tcPr>
            <w:tcW w:w="1728" w:type="pct"/>
            <w:gridSpan w:val="5"/>
            <w:tcMar>
              <w:top w:w="0" w:type="dxa"/>
              <w:left w:w="70" w:type="dxa"/>
              <w:bottom w:w="0" w:type="dxa"/>
              <w:right w:w="70" w:type="dxa"/>
            </w:tcMar>
          </w:tcPr>
          <w:p w:rsidR="006A6DE3" w:rsidRPr="006A6DE3" w:rsidRDefault="006A6DE3" w:rsidP="006A6DE3">
            <w:pPr>
              <w:spacing w:before="240" w:after="240"/>
              <w:jc w:val="center"/>
              <w:rPr>
                <w:color w:val="010000"/>
                <w:szCs w:val="19"/>
              </w:rPr>
            </w:pPr>
            <w:r w:rsidRPr="006A6DE3">
              <w:rPr>
                <w:color w:val="010000"/>
                <w:szCs w:val="19"/>
              </w:rPr>
              <w:t>Üye</w:t>
            </w:r>
          </w:p>
          <w:p w:rsidR="006A6DE3" w:rsidRPr="006A6DE3" w:rsidRDefault="006A6DE3" w:rsidP="006A6DE3">
            <w:pPr>
              <w:spacing w:before="240" w:after="240"/>
              <w:jc w:val="center"/>
              <w:rPr>
                <w:color w:val="010000"/>
                <w:szCs w:val="19"/>
              </w:rPr>
            </w:pPr>
            <w:r w:rsidRPr="006A6DE3">
              <w:rPr>
                <w:color w:val="010000"/>
                <w:szCs w:val="19"/>
              </w:rPr>
              <w:t>Burhan ÜSTÜN</w:t>
            </w:r>
          </w:p>
        </w:tc>
        <w:tc>
          <w:tcPr>
            <w:tcW w:w="1542" w:type="pct"/>
            <w:gridSpan w:val="2"/>
            <w:tcMar>
              <w:top w:w="0" w:type="dxa"/>
              <w:left w:w="70" w:type="dxa"/>
              <w:bottom w:w="0" w:type="dxa"/>
              <w:right w:w="70" w:type="dxa"/>
            </w:tcMar>
          </w:tcPr>
          <w:p w:rsidR="006A6DE3" w:rsidRPr="006A6DE3" w:rsidRDefault="006A6DE3" w:rsidP="006A6DE3">
            <w:pPr>
              <w:spacing w:before="240" w:after="240"/>
              <w:jc w:val="center"/>
              <w:rPr>
                <w:color w:val="010000"/>
                <w:szCs w:val="19"/>
              </w:rPr>
            </w:pPr>
            <w:r w:rsidRPr="006A6DE3">
              <w:rPr>
                <w:color w:val="010000"/>
                <w:szCs w:val="19"/>
              </w:rPr>
              <w:t>Üye</w:t>
            </w:r>
          </w:p>
          <w:p w:rsidR="006A6DE3" w:rsidRPr="006A6DE3" w:rsidRDefault="006A6DE3" w:rsidP="006A6DE3">
            <w:pPr>
              <w:spacing w:before="240" w:after="240"/>
              <w:jc w:val="center"/>
              <w:rPr>
                <w:color w:val="010000"/>
                <w:szCs w:val="19"/>
              </w:rPr>
            </w:pPr>
            <w:r w:rsidRPr="006A6DE3">
              <w:rPr>
                <w:color w:val="010000"/>
                <w:szCs w:val="19"/>
              </w:rPr>
              <w:t>Engin YILDIRIM</w:t>
            </w:r>
          </w:p>
        </w:tc>
      </w:tr>
      <w:tr w:rsidR="006A6DE3" w:rsidRPr="006A6DE3" w:rsidTr="006A6DE3">
        <w:trPr>
          <w:gridBefore w:val="1"/>
          <w:gridAfter w:val="1"/>
          <w:wBefore w:w="25" w:type="pct"/>
          <w:wAfter w:w="29" w:type="pct"/>
          <w:jc w:val="center"/>
        </w:trPr>
        <w:tc>
          <w:tcPr>
            <w:tcW w:w="1704" w:type="pct"/>
            <w:gridSpan w:val="2"/>
            <w:tcMar>
              <w:top w:w="0" w:type="dxa"/>
              <w:left w:w="70" w:type="dxa"/>
              <w:bottom w:w="0" w:type="dxa"/>
              <w:right w:w="70" w:type="dxa"/>
            </w:tcMar>
          </w:tcPr>
          <w:p w:rsidR="006A6DE3" w:rsidRPr="006A6DE3" w:rsidRDefault="006A6DE3" w:rsidP="006A6DE3">
            <w:pPr>
              <w:spacing w:before="240" w:after="240"/>
              <w:jc w:val="center"/>
              <w:rPr>
                <w:color w:val="010000"/>
                <w:szCs w:val="19"/>
              </w:rPr>
            </w:pPr>
            <w:r w:rsidRPr="006A6DE3">
              <w:rPr>
                <w:color w:val="010000"/>
                <w:szCs w:val="19"/>
              </w:rPr>
              <w:t>Üye</w:t>
            </w:r>
          </w:p>
          <w:p w:rsidR="006A6DE3" w:rsidRPr="006A6DE3" w:rsidRDefault="006A6DE3" w:rsidP="006A6DE3">
            <w:pPr>
              <w:spacing w:before="240" w:after="240"/>
              <w:jc w:val="center"/>
              <w:rPr>
                <w:color w:val="010000"/>
                <w:szCs w:val="19"/>
              </w:rPr>
            </w:pPr>
            <w:r w:rsidRPr="006A6DE3">
              <w:rPr>
                <w:color w:val="010000"/>
                <w:szCs w:val="19"/>
              </w:rPr>
              <w:lastRenderedPageBreak/>
              <w:t>Nuri NECİPOĞLU</w:t>
            </w:r>
          </w:p>
        </w:tc>
        <w:tc>
          <w:tcPr>
            <w:tcW w:w="1766" w:type="pct"/>
            <w:gridSpan w:val="5"/>
            <w:tcMar>
              <w:top w:w="0" w:type="dxa"/>
              <w:left w:w="70" w:type="dxa"/>
              <w:bottom w:w="0" w:type="dxa"/>
              <w:right w:w="70" w:type="dxa"/>
            </w:tcMar>
          </w:tcPr>
          <w:p w:rsidR="006A6DE3" w:rsidRPr="006A6DE3" w:rsidRDefault="006A6DE3" w:rsidP="006A6DE3">
            <w:pPr>
              <w:spacing w:before="240" w:after="240"/>
              <w:jc w:val="center"/>
              <w:rPr>
                <w:color w:val="010000"/>
                <w:szCs w:val="19"/>
              </w:rPr>
            </w:pPr>
            <w:r w:rsidRPr="006A6DE3">
              <w:rPr>
                <w:color w:val="010000"/>
                <w:szCs w:val="19"/>
              </w:rPr>
              <w:lastRenderedPageBreak/>
              <w:t>Üye</w:t>
            </w:r>
          </w:p>
          <w:p w:rsidR="006A6DE3" w:rsidRPr="006A6DE3" w:rsidRDefault="006A6DE3" w:rsidP="006A6DE3">
            <w:pPr>
              <w:spacing w:before="240" w:after="240"/>
              <w:jc w:val="center"/>
              <w:rPr>
                <w:color w:val="010000"/>
                <w:szCs w:val="19"/>
              </w:rPr>
            </w:pPr>
            <w:proofErr w:type="spellStart"/>
            <w:r w:rsidRPr="006A6DE3">
              <w:rPr>
                <w:color w:val="010000"/>
                <w:szCs w:val="19"/>
              </w:rPr>
              <w:lastRenderedPageBreak/>
              <w:t>Hicabi</w:t>
            </w:r>
            <w:proofErr w:type="spellEnd"/>
            <w:r w:rsidRPr="006A6DE3">
              <w:rPr>
                <w:color w:val="010000"/>
                <w:szCs w:val="19"/>
              </w:rPr>
              <w:t xml:space="preserve"> DURSUN</w:t>
            </w:r>
          </w:p>
        </w:tc>
        <w:tc>
          <w:tcPr>
            <w:tcW w:w="1476" w:type="pct"/>
            <w:tcMar>
              <w:top w:w="0" w:type="dxa"/>
              <w:left w:w="70" w:type="dxa"/>
              <w:bottom w:w="0" w:type="dxa"/>
              <w:right w:w="70" w:type="dxa"/>
            </w:tcMar>
          </w:tcPr>
          <w:p w:rsidR="006A6DE3" w:rsidRPr="006A6DE3" w:rsidRDefault="006A6DE3" w:rsidP="006A6DE3">
            <w:pPr>
              <w:spacing w:before="240" w:after="240"/>
              <w:jc w:val="center"/>
              <w:rPr>
                <w:color w:val="010000"/>
                <w:szCs w:val="19"/>
              </w:rPr>
            </w:pPr>
            <w:r w:rsidRPr="006A6DE3">
              <w:rPr>
                <w:color w:val="010000"/>
                <w:szCs w:val="19"/>
              </w:rPr>
              <w:lastRenderedPageBreak/>
              <w:t>Üye</w:t>
            </w:r>
          </w:p>
          <w:p w:rsidR="006A6DE3" w:rsidRPr="006A6DE3" w:rsidRDefault="006A6DE3" w:rsidP="006A6DE3">
            <w:pPr>
              <w:spacing w:before="240" w:after="240"/>
              <w:jc w:val="center"/>
              <w:rPr>
                <w:color w:val="010000"/>
                <w:szCs w:val="19"/>
              </w:rPr>
            </w:pPr>
            <w:r w:rsidRPr="006A6DE3">
              <w:rPr>
                <w:color w:val="010000"/>
                <w:szCs w:val="19"/>
              </w:rPr>
              <w:lastRenderedPageBreak/>
              <w:t>Celal Mümtaz AKINCI</w:t>
            </w:r>
          </w:p>
        </w:tc>
      </w:tr>
      <w:tr w:rsidR="006A6DE3" w:rsidRPr="006A6DE3" w:rsidTr="006A6DE3">
        <w:tblPrEx>
          <w:tblCellMar>
            <w:left w:w="108" w:type="dxa"/>
            <w:right w:w="108" w:type="dxa"/>
          </w:tblCellMar>
          <w:tblLook w:val="01E0" w:firstRow="1" w:lastRow="1" w:firstColumn="1" w:lastColumn="1" w:noHBand="0" w:noVBand="0"/>
        </w:tblPrEx>
        <w:trPr>
          <w:jc w:val="center"/>
        </w:trPr>
        <w:tc>
          <w:tcPr>
            <w:tcW w:w="2496" w:type="pct"/>
            <w:gridSpan w:val="6"/>
          </w:tcPr>
          <w:p w:rsidR="006A6DE3" w:rsidRPr="006A6DE3" w:rsidRDefault="006A6DE3" w:rsidP="006A6DE3">
            <w:pPr>
              <w:spacing w:before="240" w:after="240"/>
              <w:jc w:val="center"/>
              <w:rPr>
                <w:color w:val="010000"/>
                <w:szCs w:val="19"/>
              </w:rPr>
            </w:pPr>
            <w:r w:rsidRPr="006A6DE3">
              <w:rPr>
                <w:color w:val="010000"/>
                <w:szCs w:val="19"/>
              </w:rPr>
              <w:lastRenderedPageBreak/>
              <w:t>Üye</w:t>
            </w:r>
          </w:p>
          <w:p w:rsidR="006A6DE3" w:rsidRPr="006A6DE3" w:rsidRDefault="006A6DE3" w:rsidP="006A6DE3">
            <w:pPr>
              <w:spacing w:before="240" w:after="240"/>
              <w:jc w:val="center"/>
              <w:rPr>
                <w:color w:val="010000"/>
                <w:szCs w:val="19"/>
              </w:rPr>
            </w:pPr>
            <w:r w:rsidRPr="006A6DE3">
              <w:rPr>
                <w:color w:val="010000"/>
                <w:szCs w:val="19"/>
              </w:rPr>
              <w:t>Erdal TERCAN</w:t>
            </w:r>
          </w:p>
        </w:tc>
        <w:tc>
          <w:tcPr>
            <w:tcW w:w="2504" w:type="pct"/>
            <w:gridSpan w:val="4"/>
          </w:tcPr>
          <w:p w:rsidR="006A6DE3" w:rsidRPr="006A6DE3" w:rsidRDefault="006A6DE3" w:rsidP="006A6DE3">
            <w:pPr>
              <w:spacing w:before="240" w:after="240"/>
              <w:jc w:val="center"/>
              <w:rPr>
                <w:color w:val="010000"/>
                <w:szCs w:val="19"/>
              </w:rPr>
            </w:pPr>
            <w:r w:rsidRPr="006A6DE3">
              <w:rPr>
                <w:color w:val="010000"/>
                <w:szCs w:val="19"/>
              </w:rPr>
              <w:t>Üye</w:t>
            </w:r>
          </w:p>
          <w:p w:rsidR="006A6DE3" w:rsidRPr="006A6DE3" w:rsidRDefault="006A6DE3" w:rsidP="006A6DE3">
            <w:pPr>
              <w:spacing w:before="240" w:after="240"/>
              <w:jc w:val="center"/>
              <w:rPr>
                <w:color w:val="010000"/>
                <w:szCs w:val="19"/>
              </w:rPr>
            </w:pPr>
            <w:r w:rsidRPr="006A6DE3">
              <w:rPr>
                <w:color w:val="010000"/>
                <w:szCs w:val="19"/>
              </w:rPr>
              <w:t>Muammer TOPAL</w:t>
            </w:r>
          </w:p>
        </w:tc>
      </w:tr>
      <w:tr w:rsidR="006A6DE3" w:rsidRPr="006A6DE3" w:rsidTr="006A6DE3">
        <w:tblPrEx>
          <w:tblCellMar>
            <w:left w:w="108" w:type="dxa"/>
            <w:right w:w="108" w:type="dxa"/>
          </w:tblCellMar>
          <w:tblLook w:val="01E0" w:firstRow="1" w:lastRow="1" w:firstColumn="1" w:lastColumn="1" w:noHBand="0" w:noVBand="0"/>
        </w:tblPrEx>
        <w:trPr>
          <w:jc w:val="center"/>
        </w:trPr>
        <w:tc>
          <w:tcPr>
            <w:tcW w:w="2458" w:type="pct"/>
            <w:gridSpan w:val="5"/>
          </w:tcPr>
          <w:p w:rsidR="006A6DE3" w:rsidRPr="006A6DE3" w:rsidRDefault="006A6DE3" w:rsidP="006A6DE3">
            <w:pPr>
              <w:spacing w:before="240" w:after="240"/>
              <w:jc w:val="center"/>
              <w:rPr>
                <w:color w:val="010000"/>
                <w:szCs w:val="19"/>
              </w:rPr>
            </w:pPr>
            <w:r w:rsidRPr="006A6DE3">
              <w:rPr>
                <w:color w:val="010000"/>
                <w:szCs w:val="19"/>
              </w:rPr>
              <w:t>Üye</w:t>
            </w:r>
          </w:p>
          <w:p w:rsidR="006A6DE3" w:rsidRPr="006A6DE3" w:rsidRDefault="006A6DE3" w:rsidP="006A6DE3">
            <w:pPr>
              <w:spacing w:before="240" w:after="240"/>
              <w:jc w:val="center"/>
              <w:rPr>
                <w:color w:val="010000"/>
                <w:szCs w:val="19"/>
              </w:rPr>
            </w:pPr>
            <w:r w:rsidRPr="006A6DE3">
              <w:rPr>
                <w:color w:val="010000"/>
                <w:szCs w:val="19"/>
              </w:rPr>
              <w:t>M. Emin KUZ</w:t>
            </w:r>
          </w:p>
        </w:tc>
        <w:tc>
          <w:tcPr>
            <w:tcW w:w="2542" w:type="pct"/>
            <w:gridSpan w:val="5"/>
          </w:tcPr>
          <w:p w:rsidR="006A6DE3" w:rsidRPr="006A6DE3" w:rsidRDefault="006A6DE3" w:rsidP="006A6DE3">
            <w:pPr>
              <w:spacing w:before="240" w:after="240"/>
              <w:jc w:val="center"/>
              <w:rPr>
                <w:color w:val="010000"/>
                <w:szCs w:val="19"/>
              </w:rPr>
            </w:pPr>
            <w:r w:rsidRPr="006A6DE3">
              <w:rPr>
                <w:color w:val="010000"/>
                <w:szCs w:val="19"/>
              </w:rPr>
              <w:t>Üye</w:t>
            </w:r>
          </w:p>
          <w:p w:rsidR="006A6DE3" w:rsidRPr="006A6DE3" w:rsidRDefault="006A6DE3" w:rsidP="006A6DE3">
            <w:pPr>
              <w:spacing w:before="240" w:after="240"/>
              <w:jc w:val="center"/>
              <w:rPr>
                <w:color w:val="010000"/>
                <w:szCs w:val="19"/>
              </w:rPr>
            </w:pPr>
            <w:r w:rsidRPr="006A6DE3">
              <w:rPr>
                <w:color w:val="010000"/>
                <w:szCs w:val="19"/>
              </w:rPr>
              <w:t>Hasan Tahsin GÖKCAN</w:t>
            </w:r>
          </w:p>
        </w:tc>
      </w:tr>
    </w:tbl>
    <w:p w:rsidR="006A6DE3" w:rsidRPr="006A6DE3" w:rsidRDefault="006A6DE3" w:rsidP="006A6DE3">
      <w:pPr>
        <w:spacing w:after="200"/>
        <w:ind w:right="283" w:firstLine="709"/>
        <w:jc w:val="both"/>
        <w:rPr>
          <w:color w:val="010000"/>
          <w:szCs w:val="19"/>
        </w:rPr>
      </w:pPr>
    </w:p>
    <w:sectPr w:rsidR="006A6DE3" w:rsidRPr="006A6DE3" w:rsidSect="006A6DE3">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33A5" w:rsidRDefault="00FD33A5" w:rsidP="006A6DE3">
      <w:r>
        <w:separator/>
      </w:r>
    </w:p>
  </w:endnote>
  <w:endnote w:type="continuationSeparator" w:id="0">
    <w:p w:rsidR="00FD33A5" w:rsidRDefault="00FD33A5" w:rsidP="006A6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6DE3" w:rsidRDefault="006A6DE3" w:rsidP="00FE1CF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A6DE3" w:rsidRDefault="006A6DE3" w:rsidP="006A6DE3">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6DE3" w:rsidRPr="006A6DE3" w:rsidRDefault="006A6DE3" w:rsidP="00FE1CF0">
    <w:pPr>
      <w:pStyle w:val="AltBilgi"/>
      <w:framePr w:wrap="around" w:vAnchor="text" w:hAnchor="margin" w:xAlign="right" w:y="1"/>
      <w:rPr>
        <w:rStyle w:val="SayfaNumaras"/>
      </w:rPr>
    </w:pPr>
    <w:r w:rsidRPr="006A6DE3">
      <w:rPr>
        <w:rStyle w:val="SayfaNumaras"/>
      </w:rPr>
      <w:fldChar w:fldCharType="begin"/>
    </w:r>
    <w:r w:rsidRPr="006A6DE3">
      <w:rPr>
        <w:rStyle w:val="SayfaNumaras"/>
      </w:rPr>
      <w:instrText xml:space="preserve"> PAGE </w:instrText>
    </w:r>
    <w:r w:rsidRPr="006A6DE3">
      <w:rPr>
        <w:rStyle w:val="SayfaNumaras"/>
      </w:rPr>
      <w:fldChar w:fldCharType="separate"/>
    </w:r>
    <w:r w:rsidRPr="006A6DE3">
      <w:rPr>
        <w:rStyle w:val="SayfaNumaras"/>
        <w:noProof/>
      </w:rPr>
      <w:t>1</w:t>
    </w:r>
    <w:r w:rsidRPr="006A6DE3">
      <w:rPr>
        <w:rStyle w:val="SayfaNumaras"/>
      </w:rPr>
      <w:fldChar w:fldCharType="end"/>
    </w:r>
  </w:p>
  <w:p w:rsidR="003C6F1B" w:rsidRDefault="00FD33A5" w:rsidP="006A6DE3">
    <w:pPr>
      <w:pStyle w:val="a"/>
      <w:ind w:right="360"/>
      <w:jc w:val="center"/>
    </w:pPr>
  </w:p>
  <w:p w:rsidR="003C6F1B" w:rsidRDefault="00FD33A5">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33A5" w:rsidRDefault="00FD33A5" w:rsidP="006A6DE3">
      <w:r>
        <w:separator/>
      </w:r>
    </w:p>
  </w:footnote>
  <w:footnote w:type="continuationSeparator" w:id="0">
    <w:p w:rsidR="00FD33A5" w:rsidRDefault="00FD33A5" w:rsidP="006A6D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6DE3" w:rsidRPr="006A6DE3" w:rsidRDefault="006A6DE3" w:rsidP="006A6DE3">
    <w:pPr>
      <w:pStyle w:val="stBilgi"/>
      <w:rPr>
        <w:b/>
      </w:rPr>
    </w:pPr>
    <w:r w:rsidRPr="006A6DE3">
      <w:rPr>
        <w:b/>
      </w:rPr>
      <w:t>Esas Sayısı:2013/14 (Siyasi Parti Mali Denetimi)</w:t>
    </w:r>
  </w:p>
  <w:p w:rsidR="006A6DE3" w:rsidRDefault="006A6DE3" w:rsidP="006A6DE3">
    <w:pPr>
      <w:pStyle w:val="stBilgi"/>
      <w:rPr>
        <w:b/>
      </w:rPr>
    </w:pPr>
    <w:r>
      <w:rPr>
        <w:b/>
      </w:rPr>
      <w:t>Karar Sayısı:2014/64</w:t>
    </w:r>
  </w:p>
  <w:p w:rsidR="003C6F1B" w:rsidRPr="006A6DE3" w:rsidRDefault="00FD33A5" w:rsidP="006A6DE3">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6DE3"/>
    <w:rsid w:val="006A6DE3"/>
    <w:rsid w:val="00D12EB3"/>
    <w:rsid w:val="00FD33A5"/>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3FD63C-F646-40C5-BD1F-E911F1CFB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A6DE3"/>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6A6DE3"/>
    <w:pPr>
      <w:tabs>
        <w:tab w:val="center" w:pos="4536"/>
        <w:tab w:val="right" w:pos="9072"/>
      </w:tabs>
    </w:pPr>
  </w:style>
  <w:style w:type="character" w:customStyle="1" w:styleId="AltbilgiChar">
    <w:name w:val="Altbilgi Char"/>
    <w:basedOn w:val="VarsaylanParagrafYazTipi"/>
    <w:link w:val="a"/>
    <w:uiPriority w:val="99"/>
    <w:rsid w:val="006A6DE3"/>
    <w:rPr>
      <w:rFonts w:ascii="Times New Roman" w:eastAsia="Times New Roman" w:hAnsi="Times New Roman" w:cs="Times New Roman"/>
      <w:sz w:val="24"/>
      <w:szCs w:val="24"/>
      <w:lang w:eastAsia="tr-TR"/>
    </w:rPr>
  </w:style>
  <w:style w:type="paragraph" w:styleId="GvdeMetniGirintisi2">
    <w:name w:val="Body Text Indent 2"/>
    <w:basedOn w:val="Normal"/>
    <w:link w:val="GvdeMetniGirintisi2Char"/>
    <w:rsid w:val="006A6DE3"/>
    <w:pPr>
      <w:ind w:left="360"/>
    </w:pPr>
  </w:style>
  <w:style w:type="character" w:customStyle="1" w:styleId="GvdeMetniGirintisi2Char">
    <w:name w:val="Gövde Metni Girintisi 2 Char"/>
    <w:basedOn w:val="VarsaylanParagrafYazTipi"/>
    <w:link w:val="GvdeMetniGirintisi2"/>
    <w:rsid w:val="006A6DE3"/>
    <w:rPr>
      <w:rFonts w:ascii="Times New Roman" w:eastAsia="Times New Roman" w:hAnsi="Times New Roman" w:cs="Times New Roman"/>
      <w:sz w:val="24"/>
      <w:szCs w:val="24"/>
      <w:lang w:eastAsia="tr-TR"/>
    </w:rPr>
  </w:style>
  <w:style w:type="paragraph" w:customStyle="1" w:styleId="listeparagrafcxspilk">
    <w:name w:val="listeparagrafcxspilk"/>
    <w:basedOn w:val="Normal"/>
    <w:rsid w:val="006A6DE3"/>
    <w:pPr>
      <w:spacing w:before="100" w:beforeAutospacing="1" w:after="100" w:afterAutospacing="1"/>
    </w:pPr>
  </w:style>
  <w:style w:type="paragraph" w:customStyle="1" w:styleId="listeparagrafcxsporta">
    <w:name w:val="listeparagrafcxsporta"/>
    <w:basedOn w:val="Normal"/>
    <w:rsid w:val="006A6DE3"/>
    <w:pPr>
      <w:spacing w:before="100" w:beforeAutospacing="1" w:after="100" w:afterAutospacing="1"/>
    </w:pPr>
  </w:style>
  <w:style w:type="paragraph" w:styleId="AltBilgi">
    <w:name w:val="footer"/>
    <w:basedOn w:val="Normal"/>
    <w:link w:val="AltBilgiChar0"/>
    <w:uiPriority w:val="99"/>
    <w:unhideWhenUsed/>
    <w:rsid w:val="006A6DE3"/>
    <w:pPr>
      <w:tabs>
        <w:tab w:val="center" w:pos="4536"/>
        <w:tab w:val="right" w:pos="9072"/>
      </w:tabs>
    </w:pPr>
  </w:style>
  <w:style w:type="character" w:customStyle="1" w:styleId="AltBilgiChar0">
    <w:name w:val="Alt Bilgi Char"/>
    <w:basedOn w:val="VarsaylanParagrafYazTipi"/>
    <w:link w:val="AltBilgi"/>
    <w:uiPriority w:val="99"/>
    <w:rsid w:val="006A6DE3"/>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A6DE3"/>
    <w:pPr>
      <w:tabs>
        <w:tab w:val="center" w:pos="4536"/>
        <w:tab w:val="right" w:pos="9072"/>
      </w:tabs>
    </w:pPr>
  </w:style>
  <w:style w:type="character" w:customStyle="1" w:styleId="stBilgiChar">
    <w:name w:val="Üst Bilgi Char"/>
    <w:basedOn w:val="VarsaylanParagrafYazTipi"/>
    <w:link w:val="stBilgi"/>
    <w:uiPriority w:val="99"/>
    <w:rsid w:val="006A6DE3"/>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6A6D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1207</Words>
  <Characters>6883</Characters>
  <Application>Microsoft Office Word</Application>
  <DocSecurity>0</DocSecurity>
  <Lines>57</Lines>
  <Paragraphs>16</Paragraphs>
  <ScaleCrop>false</ScaleCrop>
  <Company/>
  <LinksUpToDate>false</LinksUpToDate>
  <CharactersWithSpaces>8074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2020-06-15T12:45:00Z</dcterms:created>
  <dcterms:modified xsi:type="dcterms:W3CDTF">2020-06-15T12:46:00Z</dcterms:modified>
</cp:coreProperties>
</file>