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45B2F" w:rsidRDefault="00C45B2F" w:rsidP="00C45B2F">
      <w:pPr>
        <w:spacing w:line="240" w:lineRule="auto"/>
        <w:ind w:right="283"/>
        <w:jc w:val="center"/>
        <w:rPr>
          <w:rFonts w:ascii="Times New Roman" w:hAnsi="Times New Roman"/>
          <w:b/>
          <w:bCs/>
          <w:caps/>
          <w:color w:val="010000"/>
          <w:sz w:val="24"/>
          <w:szCs w:val="30"/>
        </w:rPr>
      </w:pPr>
      <w:r w:rsidRPr="00C45B2F">
        <w:rPr>
          <w:rFonts w:ascii="Times New Roman" w:hAnsi="Times New Roman"/>
          <w:b/>
          <w:bCs/>
          <w:caps/>
          <w:color w:val="010000"/>
          <w:sz w:val="24"/>
          <w:szCs w:val="19"/>
        </w:rPr>
        <w:t xml:space="preserve"> </w:t>
      </w:r>
      <w:r w:rsidRPr="00C45B2F">
        <w:rPr>
          <w:rFonts w:ascii="Times New Roman" w:hAnsi="Times New Roman"/>
          <w:b/>
          <w:bCs/>
          <w:caps/>
          <w:color w:val="010000"/>
          <w:sz w:val="24"/>
          <w:szCs w:val="30"/>
        </w:rPr>
        <w:t>ANAYASA MAHKEMESİ KARARI</w:t>
      </w:r>
    </w:p>
    <w:p w:rsidR="00C45B2F" w:rsidRPr="00C45B2F" w:rsidRDefault="00C45B2F" w:rsidP="00C45B2F">
      <w:pPr>
        <w:spacing w:line="240" w:lineRule="auto"/>
        <w:ind w:right="283" w:firstLine="709"/>
        <w:jc w:val="center"/>
        <w:rPr>
          <w:rFonts w:ascii="Times New Roman" w:hAnsi="Times New Roman"/>
          <w:b/>
          <w:caps/>
          <w:color w:val="010000"/>
          <w:sz w:val="24"/>
          <w:szCs w:val="30"/>
        </w:rPr>
      </w:pPr>
    </w:p>
    <w:p w:rsidR="00C45B2F" w:rsidRDefault="00C45B2F" w:rsidP="00C45B2F">
      <w:pPr>
        <w:spacing w:after="0" w:line="240" w:lineRule="auto"/>
        <w:rPr>
          <w:rFonts w:ascii="Times New Roman" w:hAnsi="Times New Roman"/>
          <w:b/>
          <w:bCs/>
          <w:color w:val="010000"/>
          <w:sz w:val="24"/>
        </w:rPr>
      </w:pPr>
      <w:r>
        <w:rPr>
          <w:rFonts w:ascii="Times New Roman" w:hAnsi="Times New Roman"/>
          <w:b/>
          <w:bCs/>
          <w:color w:val="010000"/>
          <w:sz w:val="24"/>
        </w:rPr>
        <w:t>Esas Sayısı:2013/16 (Siyasi Parti Mali Denetimi)</w:t>
      </w:r>
    </w:p>
    <w:p w:rsidR="00C45B2F" w:rsidRDefault="00C45B2F" w:rsidP="00C45B2F">
      <w:pPr>
        <w:spacing w:after="0" w:line="240" w:lineRule="auto"/>
        <w:rPr>
          <w:rFonts w:ascii="Times New Roman" w:hAnsi="Times New Roman"/>
          <w:b/>
          <w:color w:val="010000"/>
          <w:sz w:val="24"/>
        </w:rPr>
      </w:pPr>
      <w:r>
        <w:rPr>
          <w:rFonts w:ascii="Times New Roman" w:hAnsi="Times New Roman"/>
          <w:b/>
          <w:color w:val="010000"/>
          <w:sz w:val="24"/>
        </w:rPr>
        <w:t>Karar Sayısı:2014/60</w:t>
      </w:r>
    </w:p>
    <w:p w:rsidR="00C45B2F" w:rsidRDefault="00C45B2F" w:rsidP="00C45B2F">
      <w:pPr>
        <w:spacing w:after="0" w:line="240" w:lineRule="auto"/>
        <w:rPr>
          <w:rFonts w:ascii="Times New Roman" w:hAnsi="Times New Roman"/>
          <w:b/>
          <w:color w:val="010000"/>
          <w:sz w:val="24"/>
        </w:rPr>
      </w:pPr>
      <w:r>
        <w:rPr>
          <w:rFonts w:ascii="Times New Roman" w:hAnsi="Times New Roman"/>
          <w:b/>
          <w:color w:val="010000"/>
          <w:sz w:val="24"/>
        </w:rPr>
        <w:t>Karar Günü:2.10.2014</w:t>
      </w:r>
    </w:p>
    <w:p w:rsidR="00C45B2F" w:rsidRDefault="00C45B2F" w:rsidP="00C45B2F">
      <w:pPr>
        <w:spacing w:after="0" w:line="240" w:lineRule="auto"/>
        <w:rPr>
          <w:rFonts w:ascii="Times New Roman" w:hAnsi="Times New Roman"/>
          <w:b/>
          <w:color w:val="010000"/>
          <w:sz w:val="24"/>
        </w:rPr>
      </w:pPr>
      <w:r>
        <w:rPr>
          <w:rFonts w:ascii="Times New Roman" w:hAnsi="Times New Roman"/>
          <w:b/>
          <w:color w:val="010000"/>
          <w:sz w:val="24"/>
        </w:rPr>
        <w:t>R.G. Tarih-Sayı:6.12.2014-29197</w:t>
      </w:r>
    </w:p>
    <w:p w:rsidR="00C45B2F" w:rsidRPr="00C45B2F" w:rsidRDefault="00C45B2F" w:rsidP="00C45B2F">
      <w:pPr>
        <w:spacing w:after="0" w:line="240" w:lineRule="auto"/>
        <w:rPr>
          <w:rFonts w:ascii="Times New Roman" w:hAnsi="Times New Roman"/>
          <w:b/>
          <w:color w:val="010000"/>
          <w:sz w:val="24"/>
        </w:rPr>
      </w:pP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I- MALİ DENETİMİN KONUSU</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Hak ve Adalet Partisi 2012 yılı kesin hesabının incelenmesidir.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II- İLK İNCELEME</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 xml:space="preserve">Anayasa Mahkemesi İçtüzüğü hükümleri uyarınca Haşim KILIÇ, </w:t>
      </w:r>
      <w:proofErr w:type="spellStart"/>
      <w:r w:rsidRPr="00C45B2F">
        <w:rPr>
          <w:rFonts w:ascii="Times New Roman" w:hAnsi="Times New Roman"/>
          <w:color w:val="010000"/>
          <w:sz w:val="24"/>
          <w:szCs w:val="19"/>
        </w:rPr>
        <w:t>Serruh</w:t>
      </w:r>
      <w:proofErr w:type="spellEnd"/>
      <w:r w:rsidRPr="00C45B2F">
        <w:rPr>
          <w:rFonts w:ascii="Times New Roman" w:hAnsi="Times New Roman"/>
          <w:color w:val="010000"/>
          <w:sz w:val="24"/>
          <w:szCs w:val="19"/>
        </w:rPr>
        <w:t xml:space="preserve"> KALELİ, Alparslan ALTAN, Serdar ÖZGÜLDÜR, Osman </w:t>
      </w:r>
      <w:proofErr w:type="spellStart"/>
      <w:r w:rsidRPr="00C45B2F">
        <w:rPr>
          <w:rFonts w:ascii="Times New Roman" w:hAnsi="Times New Roman"/>
          <w:color w:val="010000"/>
          <w:sz w:val="24"/>
          <w:szCs w:val="19"/>
        </w:rPr>
        <w:t>Alifeyyaz</w:t>
      </w:r>
      <w:proofErr w:type="spellEnd"/>
      <w:r w:rsidRPr="00C45B2F">
        <w:rPr>
          <w:rFonts w:ascii="Times New Roman" w:hAnsi="Times New Roman"/>
          <w:color w:val="010000"/>
          <w:sz w:val="24"/>
          <w:szCs w:val="19"/>
        </w:rPr>
        <w:t xml:space="preserve"> PAKSÜT, Zehra Ayla PERKTAŞ, Recep KÖMÜRCÜ, Burhan ÜSTÜN, Engin YILDIRIM, Nuri NECİPOĞLU, Celal Mümtaz AKINCI, Erdal TERCAN, Muammer TOPAL, Zühtü ARSLAN ve M. Emin </w:t>
      </w:r>
      <w:proofErr w:type="spellStart"/>
      <w:r w:rsidRPr="00C45B2F">
        <w:rPr>
          <w:rFonts w:ascii="Times New Roman" w:hAnsi="Times New Roman"/>
          <w:color w:val="010000"/>
          <w:sz w:val="24"/>
          <w:szCs w:val="19"/>
        </w:rPr>
        <w:t>KUZ’un</w:t>
      </w:r>
      <w:proofErr w:type="spellEnd"/>
      <w:r w:rsidRPr="00C45B2F">
        <w:rPr>
          <w:rFonts w:ascii="Times New Roman" w:hAnsi="Times New Roman"/>
          <w:color w:val="010000"/>
          <w:sz w:val="24"/>
          <w:szCs w:val="19"/>
        </w:rPr>
        <w:t xml:space="preserve"> katılımlarıyla 11.2.2014 gününde yapılan ilk inceleme toplantısında öncelikle suç duyurusunda bulunulup bulunulmayacağı sorunu görüşülmüştür.</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2820 sayılı Siyasi Partiler Kanunu’nun 73. maddesinin üçüncü fıkrasında “</w:t>
      </w:r>
      <w:r w:rsidRPr="00C45B2F">
        <w:rPr>
          <w:rFonts w:ascii="Times New Roman" w:hAnsi="Times New Roman"/>
          <w:i/>
          <w:color w:val="010000"/>
          <w:sz w:val="24"/>
          <w:szCs w:val="19"/>
        </w:rPr>
        <w:t>İller teşkilatından gönderilenler ve parti merkezine ait olan kesin hesapların, Merkez Karar ve Yönetim Kurulunca incelenerek karara bağlanacağı</w:t>
      </w:r>
      <w:r w:rsidRPr="00C45B2F">
        <w:rPr>
          <w:rFonts w:ascii="Times New Roman" w:hAnsi="Times New Roman"/>
          <w:color w:val="010000"/>
          <w:sz w:val="24"/>
          <w:szCs w:val="19"/>
        </w:rPr>
        <w:t>” öngörülmüş ve aynı Kanun’un 74. maddesinin ikinci fıkrasında da “</w:t>
      </w:r>
      <w:r w:rsidRPr="00C45B2F">
        <w:rPr>
          <w:rFonts w:ascii="Times New Roman" w:hAnsi="Times New Roman"/>
          <w:i/>
          <w:color w:val="010000"/>
          <w:sz w:val="24"/>
          <w:szCs w:val="19"/>
        </w:rPr>
        <w:t>Siyasi partilerin genel başkanları, karara bağlanarak birleştirilmiş bulunan kesin hesap ile parti merkez ve bağlı ilçeleri de kapsayan iller teşkilatının kesin hesaplarının onaylı birer örneğini Haziran ayı sonuna kadar Anayasa Mahkemesine ve bilgi için Yargıtay Cumhuriyet Başsavcılığı’na vermek zorundadırlar. Bu belgelere, ilgili siyasi partinin aynı hesap döneminde edindiği taşınmaz ve değeri yüz milyon lirayı aşan taşınır malların, menkul kıymetlerin ve her türlü hakların değerleri ile edinim tarihlerini ve şekillerini de belirten listeleri eklenir.</w:t>
      </w:r>
      <w:r w:rsidRPr="00C45B2F">
        <w:rPr>
          <w:rFonts w:ascii="Times New Roman" w:hAnsi="Times New Roman"/>
          <w:color w:val="010000"/>
          <w:sz w:val="24"/>
          <w:szCs w:val="19"/>
        </w:rPr>
        <w:t>”</w:t>
      </w:r>
      <w:r w:rsidRPr="00C45B2F">
        <w:rPr>
          <w:rFonts w:ascii="Times New Roman" w:hAnsi="Times New Roman"/>
          <w:color w:val="010000"/>
          <w:sz w:val="24"/>
          <w:szCs w:val="19"/>
        </w:rPr>
        <w:t xml:space="preserve"> </w:t>
      </w:r>
      <w:r w:rsidRPr="00C45B2F">
        <w:rPr>
          <w:rFonts w:ascii="Times New Roman" w:hAnsi="Times New Roman"/>
          <w:color w:val="010000"/>
          <w:sz w:val="24"/>
          <w:szCs w:val="19"/>
        </w:rPr>
        <w:t>denilerek il örgütlerinden gönderilen kesin hesaplar ile parti genel merkezine ilişkin kesin hesabın Merkez Karar ve Yönetim Kurulunca incelenerek karara bağlanacağını ve birleştirileceğini ve birleştirilmiş kesin hesap cetvellerinin Anayasa Mahkemesine sunulacağı hükme bağlanmıştır.</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 xml:space="preserve"> </w:t>
      </w:r>
      <w:r w:rsidRPr="00C45B2F">
        <w:rPr>
          <w:color w:val="010000"/>
          <w:szCs w:val="19"/>
        </w:rPr>
        <w:t>Yargıtay Cumhuriyet Başsavcılığının 19.2.2013 tarih ve</w:t>
      </w:r>
      <w:r w:rsidRPr="00C45B2F">
        <w:rPr>
          <w:color w:val="010000"/>
          <w:szCs w:val="19"/>
        </w:rPr>
        <w:t xml:space="preserve"> </w:t>
      </w:r>
      <w:r w:rsidRPr="00C45B2F">
        <w:rPr>
          <w:color w:val="010000"/>
          <w:szCs w:val="19"/>
        </w:rPr>
        <w:t xml:space="preserve">C.02.0.CBS.0.01.02.04/218 sayılı yazılarına ekli listede Hak ve Adalet Partisinin Genel Merkez dışında 8 il ve bağlı ilçede örgütlendiği belirtilmesine rağmen, 2012 yılı içerisinde bu örgütlere ait </w:t>
      </w:r>
      <w:proofErr w:type="gramStart"/>
      <w:r w:rsidRPr="00C45B2F">
        <w:rPr>
          <w:color w:val="010000"/>
          <w:szCs w:val="19"/>
        </w:rPr>
        <w:t>her hangi</w:t>
      </w:r>
      <w:proofErr w:type="gramEnd"/>
      <w:r w:rsidRPr="00C45B2F">
        <w:rPr>
          <w:color w:val="010000"/>
          <w:szCs w:val="19"/>
        </w:rPr>
        <w:t xml:space="preserve"> bir gelir ve giderin gerçekleşmediği ifade edilerek, 2012 yılı kesin hesaplarının gönderilmediği tespit edilmiştir.</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Siyasi partilerin faaliyetlerini yürüttükleri genel merkez, il, ilçe ve belde başkanlıklarına ait yerler partilerin kendilerine ait olabileceği gibi kiralık olarak da kullanılabilecektir. Şayet, parti yetkililerine ait veya bunların kendilerinin kullandıkları yerlerde siyasi parti faaliyette bulunuyor ise bu takdirde kira sözleşmesi düzenlenerek isabet eden tutarın partiye bağış olarak kaydedilmesi gerekir.</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Ayrıca, partilerin genel merkez, il, ilçe ve belde başkanlıklarının hayatın olağan akışı gereği kira, su, elektrik, posta, telefon, kırtasiye, tutulacak defterlerin satın alınması vb. bir takım genel yönetim giderlerini de yapması gerekir.</w:t>
      </w:r>
      <w:r w:rsidRPr="00C45B2F">
        <w:rPr>
          <w:color w:val="010000"/>
          <w:szCs w:val="19"/>
        </w:rPr>
        <w:t xml:space="preserve"> </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 xml:space="preserve">2820 sayılı Kanun’un 69. maddesinde, bir siyasi partinin bütün gelirlerinin, o siyasi partinin tüzelkişiliği adına elde edileceği; 70. maddesinde, siyasi partilerin giderlerinin amaçlarına aykırı olamayacağı ve bir siyasi partinin bütün giderlerinin, o siyasi parti tüzelkişiliği adına yapılacağı; </w:t>
      </w:r>
      <w:r w:rsidRPr="00C45B2F">
        <w:rPr>
          <w:color w:val="010000"/>
          <w:szCs w:val="19"/>
        </w:rPr>
        <w:lastRenderedPageBreak/>
        <w:t>111. maddesinin birinci fıkrasının (c) bendinde de yapılan inceleme ve araştırmaları engelleyen ve istenen bilgileri vermeyen parti sorumluları hakkında altı aydan bir yıla kadar hapis ve altmış milyon liradan az olmamak üzere ağır para cezası verileceği hüküm altına alınmıştır. Bu hükümlere göre, parti yetkililerinin genel yönetim giderlerini kendi imkânlarıyla karşılamaları mümkün değildir. Parti yetkililerinin, bu şekilde yapmış oldukları gider bedellerini partiye bağış geliri olarak kaydetmek suretiyle parti tüzelkişiliği adına hesaplara dâhil etmesi gerekir.</w:t>
      </w:r>
      <w:r w:rsidRPr="00C45B2F">
        <w:rPr>
          <w:color w:val="010000"/>
          <w:szCs w:val="19"/>
        </w:rPr>
        <w:t xml:space="preserve"> </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Yönetim giderlerinin hesaplarda görülmemesi kayıt dışı gelir ve gider oluşturulmuş olduğunu göstermektedir. Bu durumda, 2820 sayılı Kanun’un 69. ve 70. maddelerine aykırı davranılmış olmaktadır.</w:t>
      </w:r>
    </w:p>
    <w:p w:rsidR="00C45B2F" w:rsidRPr="00C45B2F" w:rsidRDefault="00C45B2F" w:rsidP="00C45B2F">
      <w:pPr>
        <w:pStyle w:val="GvdeMetniGirintisi2"/>
        <w:spacing w:after="200"/>
        <w:ind w:left="0" w:right="283" w:firstLine="709"/>
        <w:jc w:val="both"/>
        <w:rPr>
          <w:b/>
          <w:color w:val="010000"/>
          <w:szCs w:val="19"/>
        </w:rPr>
      </w:pPr>
      <w:r w:rsidRPr="00C45B2F">
        <w:rPr>
          <w:color w:val="010000"/>
          <w:szCs w:val="19"/>
        </w:rPr>
        <w:t>Mahkemeye bilgilerin istendiği şekliyle verilmemesi, hesap verilebilir şekilde kayıt ve belge düzeninin oluşturulmaması, hesabın dışında gelir ve gider oluşturulması, inceleme ve araştırmayı engellemeye yönelik eylemler olduğundan dolayı 2820 sayılı Kanun’un 111. maddesinin birinci fıkrasının (c) bendine istinaden gerekli işlemlerin yapılmasını temin için Ankara Cumhuriyet Başsavcılığına suç duyurusunda bulunulması gerekir.</w:t>
      </w:r>
    </w:p>
    <w:p w:rsidR="00C45B2F" w:rsidRPr="00C45B2F" w:rsidRDefault="00C45B2F" w:rsidP="00C45B2F">
      <w:pPr>
        <w:pStyle w:val="GvdeMetniGirintisi2"/>
        <w:spacing w:after="200"/>
        <w:ind w:left="0" w:right="283" w:firstLine="709"/>
        <w:jc w:val="both"/>
        <w:rPr>
          <w:color w:val="010000"/>
          <w:szCs w:val="19"/>
        </w:rPr>
      </w:pPr>
      <w:r w:rsidRPr="00C45B2F">
        <w:rPr>
          <w:color w:val="010000"/>
          <w:szCs w:val="19"/>
        </w:rPr>
        <w:t>Bu itibarla Hak ve Adalet Partisinin 2012 yılı kesin hesabının incelenmesi sonucunda;</w:t>
      </w:r>
    </w:p>
    <w:p w:rsidR="00C45B2F" w:rsidRPr="00C45B2F" w:rsidRDefault="00C45B2F" w:rsidP="00C45B2F">
      <w:pPr>
        <w:pStyle w:val="ListParagraph"/>
        <w:spacing w:line="240" w:lineRule="auto"/>
        <w:ind w:left="0" w:right="283" w:firstLine="709"/>
        <w:jc w:val="both"/>
        <w:rPr>
          <w:rFonts w:ascii="Times New Roman" w:hAnsi="Times New Roman"/>
          <w:color w:val="010000"/>
          <w:sz w:val="24"/>
          <w:szCs w:val="19"/>
        </w:rPr>
      </w:pPr>
      <w:r w:rsidRPr="00C45B2F">
        <w:rPr>
          <w:rFonts w:ascii="Times New Roman" w:hAnsi="Times New Roman"/>
          <w:color w:val="010000"/>
          <w:sz w:val="24"/>
          <w:szCs w:val="19"/>
        </w:rPr>
        <w:t>1- Genel Merkeze ait kesin hesapların sunulmasından dolayı işin esasının incelenmesine,</w:t>
      </w:r>
    </w:p>
    <w:p w:rsidR="00C45B2F" w:rsidRPr="00C45B2F" w:rsidRDefault="00C45B2F" w:rsidP="00C45B2F">
      <w:pPr>
        <w:pStyle w:val="ListParagraph"/>
        <w:spacing w:line="240" w:lineRule="auto"/>
        <w:ind w:left="0" w:right="283" w:firstLine="709"/>
        <w:jc w:val="both"/>
        <w:rPr>
          <w:rFonts w:ascii="Times New Roman" w:hAnsi="Times New Roman"/>
          <w:color w:val="010000"/>
          <w:sz w:val="24"/>
          <w:szCs w:val="19"/>
        </w:rPr>
      </w:pPr>
      <w:r w:rsidRPr="00C45B2F">
        <w:rPr>
          <w:rFonts w:ascii="Times New Roman" w:hAnsi="Times New Roman"/>
          <w:color w:val="010000"/>
          <w:sz w:val="24"/>
          <w:szCs w:val="19"/>
        </w:rPr>
        <w:t>2- Esas incelemenin yapılması için, Genel Merkez kesin hesabının dayanağını oluşturan gelir-gider belgeleri ile bu belgelerin kaydedildiği defterleri Sayıştay Başkanlığına göndermesi için Partiye bu kararın tebliğinden itibaren 30 gün süre verilmesine,</w:t>
      </w:r>
    </w:p>
    <w:p w:rsidR="00C45B2F" w:rsidRPr="00C45B2F" w:rsidRDefault="00C45B2F" w:rsidP="00C45B2F">
      <w:pPr>
        <w:pStyle w:val="ListParagraph"/>
        <w:spacing w:line="240" w:lineRule="auto"/>
        <w:ind w:left="0" w:right="283" w:firstLine="709"/>
        <w:jc w:val="both"/>
        <w:rPr>
          <w:rFonts w:ascii="Times New Roman" w:hAnsi="Times New Roman"/>
          <w:color w:val="010000"/>
          <w:sz w:val="24"/>
          <w:szCs w:val="19"/>
        </w:rPr>
      </w:pPr>
      <w:r w:rsidRPr="00C45B2F">
        <w:rPr>
          <w:rFonts w:ascii="Times New Roman" w:hAnsi="Times New Roman"/>
          <w:color w:val="010000"/>
          <w:sz w:val="24"/>
          <w:szCs w:val="19"/>
        </w:rPr>
        <w:t>3- Anayasa Mahkemesine istenen bilgilerin istendiği şekliyle verilmemesi, hesap verilebilir şekilde kayıt ve belge düzeninin oluşturulmaması, hesabın dışında gelir ve gider yapılması, inceleme ve araştırmayı engellemeye yönelik eylemler olduğundan, Parti sorumluları hakkında 2820 sayılı Kanun’un 111. maddesinin birinci fıkrasının (c) bendi uyarınca yasal işlem yapılması için Ankara Cumhuriyet Başsavcılığına suç duyurusunda bulunulmasına,</w:t>
      </w:r>
    </w:p>
    <w:p w:rsidR="00C45B2F" w:rsidRPr="00C45B2F" w:rsidRDefault="00C45B2F" w:rsidP="00C45B2F">
      <w:pPr>
        <w:pStyle w:val="ListParagraph"/>
        <w:spacing w:line="240" w:lineRule="auto"/>
        <w:ind w:left="0" w:right="283" w:firstLine="709"/>
        <w:jc w:val="both"/>
        <w:rPr>
          <w:rFonts w:ascii="Times New Roman" w:hAnsi="Times New Roman"/>
          <w:color w:val="010000"/>
          <w:sz w:val="24"/>
          <w:szCs w:val="19"/>
        </w:rPr>
      </w:pPr>
      <w:r w:rsidRPr="00C45B2F">
        <w:rPr>
          <w:rFonts w:ascii="Times New Roman" w:hAnsi="Times New Roman"/>
          <w:color w:val="010000"/>
          <w:sz w:val="24"/>
          <w:szCs w:val="19"/>
        </w:rPr>
        <w:t>OYBİRLİĞİYLE karar verilmiştir.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III- ESASIN İNCELENMESİ</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Hak ve Adalet Partisinin, Anayasa Mahkemesine verdiği 2012 yılı kesin hesap çizelgeleri ile dayanağını oluşturan defter ve belgeler üzerinde yapılan inceleme sonuçlarını içeren ve Raportör Sadettin CEYHAN tarafından heyete sunulan esas inceleme raporu, Anayasa ve 6216 sayılı Anayasa Mahkemesinin Kuruluşu ve Yargılama Usulleri Hakkında Kanun ile 2820 sayılı Kanun’un ilgili kuralları, bunların gerekçeleri ve diğer yasama belgeleri okunup incelendikten sonra gereği görüşülüp düşünüldü:</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Denetimin maddi öğelerini oluşturan defter ve belgelerde Partinin 2012 yılı gelirlerinin 17.237,00 TL, giderlerinin 30.846,45 TL olduğu, yıl sonu borçlar toplamının 13.619,45 TL olduğu, nakit mevcudu olarak ise 2013 yılına devredilen tutarın 10,00 TL olduğu anlaşılmaktadır.</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 xml:space="preserve"> </w:t>
      </w:r>
      <w:r w:rsidRPr="00C45B2F">
        <w:rPr>
          <w:rFonts w:ascii="Times New Roman" w:hAnsi="Times New Roman"/>
          <w:color w:val="010000"/>
          <w:sz w:val="24"/>
          <w:szCs w:val="19"/>
        </w:rPr>
        <w:t>Partinin 2012 yılı kesin hesabının gelir ve gider rakamlarının yukarıda açıklanan tutarlardan oluştuğu, bu hâliyle 2012 yılı kesin hesabının doğru, denk ve 2820 sayılı Kanun’a uygun olduğu sonucuna varılmıştır.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A-</w:t>
      </w:r>
      <w:r w:rsidRPr="00C45B2F">
        <w:rPr>
          <w:rFonts w:ascii="Times New Roman" w:hAnsi="Times New Roman"/>
          <w:color w:val="010000"/>
          <w:sz w:val="24"/>
        </w:rPr>
        <w:t xml:space="preserve"> </w:t>
      </w:r>
      <w:r w:rsidRPr="00C45B2F">
        <w:rPr>
          <w:rFonts w:ascii="Times New Roman" w:hAnsi="Times New Roman"/>
          <w:b/>
          <w:bCs/>
          <w:color w:val="010000"/>
          <w:sz w:val="24"/>
        </w:rPr>
        <w:t>Gelirlerin İncelenmesi</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1- Genel Merkez Gelirleri</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lastRenderedPageBreak/>
        <w:t xml:space="preserve">Partinin Genel Merkez gelirleri 17.237,00 TL olarak gösterilmiş olup bunun 9.417,00 TL’si üye yıllık aidatı gelirlerinden, 7.820,00 TL’si bağışlardan oluşmaktadır. </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 Genel Merkezinin defter kayıtları ve gelir belgeleri üzerinde yapılan incelemede, gelirlerin 2820 sayılı Kanun’a uygun olarak sağlandığı sonucuna varılmıştır.</w:t>
      </w:r>
    </w:p>
    <w:p w:rsidR="00C45B2F" w:rsidRPr="00C45B2F" w:rsidRDefault="00C45B2F" w:rsidP="00C45B2F">
      <w:pPr>
        <w:spacing w:line="240" w:lineRule="auto"/>
        <w:ind w:right="283" w:firstLine="709"/>
        <w:jc w:val="both"/>
        <w:rPr>
          <w:rFonts w:ascii="Times New Roman" w:hAnsi="Times New Roman"/>
          <w:b/>
          <w:bCs/>
          <w:color w:val="010000"/>
          <w:sz w:val="24"/>
        </w:rPr>
      </w:pPr>
      <w:r w:rsidRPr="00C45B2F">
        <w:rPr>
          <w:rFonts w:ascii="Times New Roman" w:hAnsi="Times New Roman"/>
          <w:b/>
          <w:bCs/>
          <w:color w:val="010000"/>
          <w:sz w:val="24"/>
        </w:rPr>
        <w:t>2- İl Örgütleri Gelirleri</w:t>
      </w:r>
    </w:p>
    <w:p w:rsidR="00C45B2F" w:rsidRPr="00C45B2F" w:rsidRDefault="00C45B2F" w:rsidP="00C45B2F">
      <w:pPr>
        <w:spacing w:line="240" w:lineRule="auto"/>
        <w:ind w:right="283" w:firstLine="709"/>
        <w:jc w:val="both"/>
        <w:rPr>
          <w:rFonts w:ascii="Times New Roman" w:hAnsi="Times New Roman"/>
          <w:bCs/>
          <w:color w:val="010000"/>
          <w:sz w:val="24"/>
          <w:szCs w:val="19"/>
        </w:rPr>
      </w:pPr>
      <w:r w:rsidRPr="00C45B2F">
        <w:rPr>
          <w:rFonts w:ascii="Times New Roman" w:hAnsi="Times New Roman"/>
          <w:bCs/>
          <w:color w:val="010000"/>
          <w:sz w:val="24"/>
          <w:szCs w:val="19"/>
        </w:rPr>
        <w:t xml:space="preserve">Partinin 2012 Yılında il örgütlerine ilişkin </w:t>
      </w:r>
      <w:proofErr w:type="gramStart"/>
      <w:r w:rsidRPr="00C45B2F">
        <w:rPr>
          <w:rFonts w:ascii="Times New Roman" w:hAnsi="Times New Roman"/>
          <w:bCs/>
          <w:color w:val="010000"/>
          <w:sz w:val="24"/>
          <w:szCs w:val="19"/>
        </w:rPr>
        <w:t>her hangi</w:t>
      </w:r>
      <w:proofErr w:type="gramEnd"/>
      <w:r w:rsidRPr="00C45B2F">
        <w:rPr>
          <w:rFonts w:ascii="Times New Roman" w:hAnsi="Times New Roman"/>
          <w:bCs/>
          <w:color w:val="010000"/>
          <w:sz w:val="24"/>
          <w:szCs w:val="19"/>
        </w:rPr>
        <w:t xml:space="preserve"> bir geliri olmamıştır.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B- Giderlerin İncelenmesi</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1- Genel Merkez Giderleri</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Partinin Genel Merkez giderleri toplamı 30.846,45 TL olup bunun 2.731,19 TL’si temsil ağırlama giderlerinden, 289,49 TL’si kırtasiye giderlerinden, 1.014,66 TL’si haberleşme giderlerinden, 178,53 TL’si taşıma giderlerinden, 695,00 TL’si seyahat giderlerinden, 13.619,45 TL’si kira giderlerinden, 518,14 TL’si ısınma, aydınlanma ve temizlik giderlerinden, 11.800,00 TL’si demirbaş giderlerinden oluşmaktadır.</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 Genel Merkezinin 2013 yılına devreden nakit mevcudu 10,00 TL’dir.</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 Genel Merkezinin defter kayıtları ve gider belgeleri üzerinde yapılan incelemede, giderlerin 2820 sayılı Kanun’a uygun olarak gerçekleştirildiği sonucuna varılmıştır.</w:t>
      </w:r>
    </w:p>
    <w:p w:rsidR="00C45B2F" w:rsidRPr="00C45B2F" w:rsidRDefault="00C45B2F" w:rsidP="00C45B2F">
      <w:pPr>
        <w:spacing w:line="240" w:lineRule="auto"/>
        <w:ind w:right="283" w:firstLine="709"/>
        <w:jc w:val="both"/>
        <w:rPr>
          <w:rFonts w:ascii="Times New Roman" w:hAnsi="Times New Roman"/>
          <w:b/>
          <w:bCs/>
          <w:color w:val="010000"/>
          <w:sz w:val="24"/>
        </w:rPr>
      </w:pPr>
      <w:r w:rsidRPr="00C45B2F">
        <w:rPr>
          <w:rFonts w:ascii="Times New Roman" w:hAnsi="Times New Roman"/>
          <w:b/>
          <w:bCs/>
          <w:color w:val="010000"/>
          <w:sz w:val="24"/>
        </w:rPr>
        <w:t>2- İl Örgütleri Giderleri</w:t>
      </w:r>
    </w:p>
    <w:p w:rsidR="00C45B2F" w:rsidRPr="00C45B2F" w:rsidRDefault="00C45B2F" w:rsidP="00C45B2F">
      <w:pPr>
        <w:spacing w:line="240" w:lineRule="auto"/>
        <w:ind w:right="283" w:firstLine="709"/>
        <w:jc w:val="both"/>
        <w:rPr>
          <w:rFonts w:ascii="Times New Roman" w:hAnsi="Times New Roman"/>
          <w:bCs/>
          <w:color w:val="010000"/>
          <w:sz w:val="24"/>
          <w:szCs w:val="19"/>
        </w:rPr>
      </w:pPr>
      <w:r w:rsidRPr="00C45B2F">
        <w:rPr>
          <w:rFonts w:ascii="Times New Roman" w:hAnsi="Times New Roman"/>
          <w:bCs/>
          <w:color w:val="010000"/>
          <w:sz w:val="24"/>
          <w:szCs w:val="19"/>
        </w:rPr>
        <w:t xml:space="preserve">Partinin 2012 Yılında il örgütlerine ilişkin </w:t>
      </w:r>
      <w:proofErr w:type="gramStart"/>
      <w:r w:rsidRPr="00C45B2F">
        <w:rPr>
          <w:rFonts w:ascii="Times New Roman" w:hAnsi="Times New Roman"/>
          <w:bCs/>
          <w:color w:val="010000"/>
          <w:sz w:val="24"/>
          <w:szCs w:val="19"/>
        </w:rPr>
        <w:t>her hangi</w:t>
      </w:r>
      <w:proofErr w:type="gramEnd"/>
      <w:r w:rsidRPr="00C45B2F">
        <w:rPr>
          <w:rFonts w:ascii="Times New Roman" w:hAnsi="Times New Roman"/>
          <w:bCs/>
          <w:color w:val="010000"/>
          <w:sz w:val="24"/>
          <w:szCs w:val="19"/>
        </w:rPr>
        <w:t xml:space="preserve"> bir gideri olmamıştır.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C- Parti Mallarının İncelenmesi</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Partinin 2012 yılı defter ve belgeleri üzerinde yapılan incelemede, herhangi bir taşınmaz mal ediniminde bulunmadığı görülmüş, edinilen toplam 11.800,00 TL değerindeki taşınır mal ve menkul kıymet ediniminin ise 2820 sayılı Kanun’a uygun olarak gerçekleştirildiği anlaşılmıştır.</w:t>
      </w:r>
    </w:p>
    <w:p w:rsidR="00C45B2F" w:rsidRPr="00C45B2F" w:rsidRDefault="00C45B2F" w:rsidP="00C45B2F">
      <w:pPr>
        <w:spacing w:line="240" w:lineRule="auto"/>
        <w:ind w:right="283" w:firstLine="709"/>
        <w:jc w:val="both"/>
        <w:rPr>
          <w:rFonts w:ascii="Times New Roman" w:hAnsi="Times New Roman"/>
          <w:color w:val="010000"/>
          <w:sz w:val="24"/>
        </w:rPr>
      </w:pPr>
      <w:r w:rsidRPr="00C45B2F">
        <w:rPr>
          <w:rFonts w:ascii="Times New Roman" w:hAnsi="Times New Roman"/>
          <w:b/>
          <w:bCs/>
          <w:color w:val="010000"/>
          <w:sz w:val="24"/>
        </w:rPr>
        <w:t>IV- SONUÇ</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Hak ve Adalet Partisinin 2012 yılı kesin hesabının incelenmesi sonucunda;</w:t>
      </w:r>
    </w:p>
    <w:p w:rsidR="00C45B2F" w:rsidRPr="00C45B2F" w:rsidRDefault="00C45B2F" w:rsidP="00C45B2F">
      <w:pPr>
        <w:spacing w:line="240" w:lineRule="auto"/>
        <w:ind w:right="283" w:firstLine="709"/>
        <w:jc w:val="both"/>
        <w:rPr>
          <w:rFonts w:ascii="Times New Roman" w:hAnsi="Times New Roman"/>
          <w:color w:val="010000"/>
          <w:sz w:val="24"/>
          <w:szCs w:val="19"/>
        </w:rPr>
      </w:pPr>
      <w:r w:rsidRPr="00C45B2F">
        <w:rPr>
          <w:rFonts w:ascii="Times New Roman" w:hAnsi="Times New Roman"/>
          <w:color w:val="010000"/>
          <w:sz w:val="24"/>
          <w:szCs w:val="19"/>
        </w:rPr>
        <w:t>Partinin 2012 yılı kesin hesabında gösterilen 17.237,00 TL gelirin, 30.846,45 TL giderin ve 11.800,00 TL tutarındaki taşınır mal ediniminin eldeki bilgi ve belgelere göre doğru ve 2820 sayılı Siyasi Partiler Kanunu’na uygun olduğuna, 2.10.2014 gününde OYBİRLİĞİYLE karar verildi.</w:t>
      </w:r>
    </w:p>
    <w:p w:rsidR="00C45B2F" w:rsidRDefault="00C45B2F">
      <w:bookmarkStart w:id="0" w:name="_GoBack"/>
      <w:bookmarkEnd w:id="0"/>
    </w:p>
    <w:tbl>
      <w:tblPr>
        <w:tblW w:w="5000" w:type="pct"/>
        <w:jc w:val="center"/>
        <w:tblCellMar>
          <w:left w:w="0" w:type="dxa"/>
          <w:right w:w="0" w:type="dxa"/>
        </w:tblCellMar>
        <w:tblLook w:val="04A0" w:firstRow="1" w:lastRow="0" w:firstColumn="1" w:lastColumn="0" w:noHBand="0" w:noVBand="1"/>
      </w:tblPr>
      <w:tblGrid>
        <w:gridCol w:w="3409"/>
        <w:gridCol w:w="1694"/>
        <w:gridCol w:w="1604"/>
        <w:gridCol w:w="3073"/>
      </w:tblGrid>
      <w:tr w:rsidR="00C45B2F" w:rsidRPr="00C45B2F" w:rsidTr="00C45B2F">
        <w:trPr>
          <w:jc w:val="center"/>
        </w:trPr>
        <w:tc>
          <w:tcPr>
            <w:tcW w:w="1743" w:type="pct"/>
            <w:tcMar>
              <w:top w:w="0" w:type="dxa"/>
              <w:left w:w="108" w:type="dxa"/>
              <w:bottom w:w="0" w:type="dxa"/>
              <w:right w:w="108"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Başkanvekili</w:t>
            </w:r>
          </w:p>
          <w:p w:rsidR="00C45B2F" w:rsidRPr="00C45B2F" w:rsidRDefault="00C45B2F" w:rsidP="00C45B2F">
            <w:pPr>
              <w:spacing w:before="240" w:after="240" w:line="240" w:lineRule="auto"/>
              <w:jc w:val="center"/>
              <w:rPr>
                <w:rFonts w:ascii="Times New Roman" w:hAnsi="Times New Roman"/>
                <w:color w:val="010000"/>
                <w:sz w:val="24"/>
                <w:szCs w:val="19"/>
              </w:rPr>
            </w:pPr>
            <w:proofErr w:type="spellStart"/>
            <w:r w:rsidRPr="00C45B2F">
              <w:rPr>
                <w:rFonts w:ascii="Times New Roman" w:hAnsi="Times New Roman"/>
                <w:color w:val="010000"/>
                <w:sz w:val="24"/>
                <w:szCs w:val="19"/>
              </w:rPr>
              <w:t>Serruh</w:t>
            </w:r>
            <w:proofErr w:type="spellEnd"/>
            <w:r w:rsidRPr="00C45B2F">
              <w:rPr>
                <w:rFonts w:ascii="Times New Roman" w:hAnsi="Times New Roman"/>
                <w:color w:val="010000"/>
                <w:sz w:val="24"/>
                <w:szCs w:val="19"/>
              </w:rPr>
              <w:t xml:space="preserve"> KALELİ</w:t>
            </w:r>
          </w:p>
        </w:tc>
        <w:tc>
          <w:tcPr>
            <w:tcW w:w="1686" w:type="pct"/>
            <w:gridSpan w:val="2"/>
            <w:tcMar>
              <w:top w:w="0" w:type="dxa"/>
              <w:left w:w="108" w:type="dxa"/>
              <w:bottom w:w="0" w:type="dxa"/>
              <w:right w:w="108"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 xml:space="preserve">Osman </w:t>
            </w:r>
            <w:proofErr w:type="spellStart"/>
            <w:r w:rsidRPr="00C45B2F">
              <w:rPr>
                <w:rFonts w:ascii="Times New Roman" w:hAnsi="Times New Roman"/>
                <w:color w:val="010000"/>
                <w:sz w:val="24"/>
                <w:szCs w:val="19"/>
              </w:rPr>
              <w:t>Alifeyyaz</w:t>
            </w:r>
            <w:proofErr w:type="spellEnd"/>
            <w:r w:rsidRPr="00C45B2F">
              <w:rPr>
                <w:rFonts w:ascii="Times New Roman" w:hAnsi="Times New Roman"/>
                <w:color w:val="010000"/>
                <w:sz w:val="24"/>
                <w:szCs w:val="19"/>
              </w:rPr>
              <w:t xml:space="preserve"> PAKSÜT</w:t>
            </w:r>
          </w:p>
        </w:tc>
        <w:tc>
          <w:tcPr>
            <w:tcW w:w="1571" w:type="pct"/>
            <w:tcMar>
              <w:top w:w="0" w:type="dxa"/>
              <w:left w:w="108" w:type="dxa"/>
              <w:bottom w:w="0" w:type="dxa"/>
              <w:right w:w="108"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Zehra Ayla PERKTAŞ</w:t>
            </w:r>
          </w:p>
        </w:tc>
      </w:tr>
      <w:tr w:rsidR="00C45B2F" w:rsidRPr="00C45B2F" w:rsidTr="00C45B2F">
        <w:trPr>
          <w:jc w:val="center"/>
        </w:trPr>
        <w:tc>
          <w:tcPr>
            <w:tcW w:w="1743" w:type="pct"/>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Recep KÖMÜRCÜ</w:t>
            </w:r>
          </w:p>
        </w:tc>
        <w:tc>
          <w:tcPr>
            <w:tcW w:w="1686" w:type="pct"/>
            <w:gridSpan w:val="2"/>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Burhan ÜSTÜN</w:t>
            </w:r>
          </w:p>
        </w:tc>
        <w:tc>
          <w:tcPr>
            <w:tcW w:w="1571" w:type="pct"/>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Engin YILDIRIM</w:t>
            </w:r>
          </w:p>
        </w:tc>
      </w:tr>
      <w:tr w:rsidR="00C45B2F" w:rsidRPr="00C45B2F" w:rsidTr="00C45B2F">
        <w:trPr>
          <w:jc w:val="center"/>
        </w:trPr>
        <w:tc>
          <w:tcPr>
            <w:tcW w:w="1743" w:type="pct"/>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lastRenderedPageBreak/>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Nuri NECİPOĞLU</w:t>
            </w:r>
          </w:p>
        </w:tc>
        <w:tc>
          <w:tcPr>
            <w:tcW w:w="1686" w:type="pct"/>
            <w:gridSpan w:val="2"/>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proofErr w:type="spellStart"/>
            <w:r w:rsidRPr="00C45B2F">
              <w:rPr>
                <w:rFonts w:ascii="Times New Roman" w:hAnsi="Times New Roman"/>
                <w:color w:val="010000"/>
                <w:sz w:val="24"/>
                <w:szCs w:val="19"/>
              </w:rPr>
              <w:t>Hicabi</w:t>
            </w:r>
            <w:proofErr w:type="spellEnd"/>
            <w:r w:rsidRPr="00C45B2F">
              <w:rPr>
                <w:rFonts w:ascii="Times New Roman" w:hAnsi="Times New Roman"/>
                <w:color w:val="010000"/>
                <w:sz w:val="24"/>
                <w:szCs w:val="19"/>
              </w:rPr>
              <w:t xml:space="preserve"> DURSUN</w:t>
            </w:r>
          </w:p>
        </w:tc>
        <w:tc>
          <w:tcPr>
            <w:tcW w:w="1571" w:type="pct"/>
            <w:tcMar>
              <w:top w:w="0" w:type="dxa"/>
              <w:left w:w="70" w:type="dxa"/>
              <w:bottom w:w="0" w:type="dxa"/>
              <w:right w:w="70" w:type="dxa"/>
            </w:tcMar>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Celal Mümtaz AKINCI</w:t>
            </w:r>
          </w:p>
        </w:tc>
      </w:tr>
      <w:tr w:rsidR="00C45B2F" w:rsidRPr="00C45B2F" w:rsidTr="00C45B2F">
        <w:tblPrEx>
          <w:tblCellMar>
            <w:left w:w="108" w:type="dxa"/>
            <w:right w:w="108" w:type="dxa"/>
          </w:tblCellMar>
          <w:tblLook w:val="01E0" w:firstRow="1" w:lastRow="1" w:firstColumn="1" w:lastColumn="1" w:noHBand="0" w:noVBand="0"/>
        </w:tblPrEx>
        <w:trPr>
          <w:jc w:val="center"/>
        </w:trPr>
        <w:tc>
          <w:tcPr>
            <w:tcW w:w="2609" w:type="pct"/>
            <w:gridSpan w:val="2"/>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Erdal TERCAN</w:t>
            </w:r>
          </w:p>
        </w:tc>
        <w:tc>
          <w:tcPr>
            <w:tcW w:w="2391" w:type="pct"/>
            <w:gridSpan w:val="2"/>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Muammer TOPAL</w:t>
            </w:r>
          </w:p>
        </w:tc>
      </w:tr>
      <w:tr w:rsidR="00C45B2F" w:rsidRPr="00C45B2F" w:rsidTr="00C45B2F">
        <w:tblPrEx>
          <w:tblCellMar>
            <w:left w:w="108" w:type="dxa"/>
            <w:right w:w="108" w:type="dxa"/>
          </w:tblCellMar>
          <w:tblLook w:val="01E0" w:firstRow="1" w:lastRow="1" w:firstColumn="1" w:lastColumn="1" w:noHBand="0" w:noVBand="0"/>
        </w:tblPrEx>
        <w:trPr>
          <w:jc w:val="center"/>
        </w:trPr>
        <w:tc>
          <w:tcPr>
            <w:tcW w:w="2609" w:type="pct"/>
            <w:gridSpan w:val="2"/>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M. Emin KUZ</w:t>
            </w:r>
          </w:p>
        </w:tc>
        <w:tc>
          <w:tcPr>
            <w:tcW w:w="2391" w:type="pct"/>
            <w:gridSpan w:val="2"/>
          </w:tcPr>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Üye</w:t>
            </w:r>
          </w:p>
          <w:p w:rsidR="00C45B2F" w:rsidRPr="00C45B2F" w:rsidRDefault="00C45B2F" w:rsidP="00C45B2F">
            <w:pPr>
              <w:spacing w:before="240" w:after="240" w:line="240" w:lineRule="auto"/>
              <w:jc w:val="center"/>
              <w:rPr>
                <w:rFonts w:ascii="Times New Roman" w:hAnsi="Times New Roman"/>
                <w:color w:val="010000"/>
                <w:sz w:val="24"/>
                <w:szCs w:val="19"/>
              </w:rPr>
            </w:pPr>
            <w:r w:rsidRPr="00C45B2F">
              <w:rPr>
                <w:rFonts w:ascii="Times New Roman" w:hAnsi="Times New Roman"/>
                <w:color w:val="010000"/>
                <w:sz w:val="24"/>
                <w:szCs w:val="19"/>
              </w:rPr>
              <w:t>Hasan Tahsin GÖKCAN</w:t>
            </w:r>
          </w:p>
        </w:tc>
      </w:tr>
    </w:tbl>
    <w:p w:rsidR="00C45B2F" w:rsidRPr="00C45B2F" w:rsidRDefault="00C45B2F" w:rsidP="00C45B2F">
      <w:pPr>
        <w:spacing w:line="240" w:lineRule="auto"/>
        <w:ind w:right="283" w:firstLine="709"/>
        <w:jc w:val="both"/>
        <w:rPr>
          <w:rFonts w:ascii="Times New Roman" w:hAnsi="Times New Roman"/>
          <w:color w:val="010000"/>
          <w:sz w:val="24"/>
          <w:szCs w:val="19"/>
        </w:rPr>
      </w:pPr>
    </w:p>
    <w:sectPr w:rsidR="00C45B2F" w:rsidRPr="00C45B2F" w:rsidSect="00C45B2F">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961A9" w:rsidRDefault="00B961A9" w:rsidP="00C45B2F">
      <w:pPr>
        <w:spacing w:after="0" w:line="240" w:lineRule="auto"/>
      </w:pPr>
      <w:r>
        <w:separator/>
      </w:r>
    </w:p>
  </w:endnote>
  <w:endnote w:type="continuationSeparator" w:id="0">
    <w:p w:rsidR="00B961A9" w:rsidRDefault="00B961A9" w:rsidP="00C45B2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30D1" w:rsidRDefault="00B961A9" w:rsidP="00C45B2F">
    <w:pPr>
      <w:pStyle w:val="a"/>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330D1" w:rsidRDefault="00B961A9" w:rsidP="00C45B2F">
    <w:pPr>
      <w:pStyle w:val="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30D1" w:rsidRPr="00C45B2F" w:rsidRDefault="00B961A9" w:rsidP="00C45B2F">
    <w:pPr>
      <w:pStyle w:val="a"/>
      <w:framePr w:wrap="around" w:vAnchor="text" w:hAnchor="margin" w:xAlign="right" w:y="1"/>
      <w:rPr>
        <w:rStyle w:val="SayfaNumaras"/>
        <w:rFonts w:ascii="Times New Roman" w:hAnsi="Times New Roman"/>
        <w:sz w:val="24"/>
      </w:rPr>
    </w:pPr>
    <w:r w:rsidRPr="00C45B2F">
      <w:rPr>
        <w:rStyle w:val="SayfaNumaras"/>
        <w:rFonts w:ascii="Times New Roman" w:hAnsi="Times New Roman"/>
        <w:sz w:val="24"/>
      </w:rPr>
      <w:fldChar w:fldCharType="begin"/>
    </w:r>
    <w:r w:rsidRPr="00C45B2F">
      <w:rPr>
        <w:rStyle w:val="SayfaNumaras"/>
        <w:rFonts w:ascii="Times New Roman" w:hAnsi="Times New Roman"/>
        <w:sz w:val="24"/>
      </w:rPr>
      <w:instrText xml:space="preserve">PAGE  </w:instrText>
    </w:r>
    <w:r w:rsidRPr="00C45B2F">
      <w:rPr>
        <w:rStyle w:val="SayfaNumaras"/>
        <w:rFonts w:ascii="Times New Roman" w:hAnsi="Times New Roman"/>
        <w:sz w:val="24"/>
      </w:rPr>
      <w:fldChar w:fldCharType="separate"/>
    </w:r>
    <w:r w:rsidRPr="00C45B2F">
      <w:rPr>
        <w:rStyle w:val="SayfaNumaras"/>
        <w:rFonts w:ascii="Times New Roman" w:hAnsi="Times New Roman"/>
        <w:noProof/>
        <w:sz w:val="24"/>
      </w:rPr>
      <w:t>5</w:t>
    </w:r>
    <w:r w:rsidRPr="00C45B2F">
      <w:rPr>
        <w:rStyle w:val="SayfaNumaras"/>
        <w:rFonts w:ascii="Times New Roman" w:hAnsi="Times New Roman"/>
        <w:sz w:val="24"/>
      </w:rPr>
      <w:fldChar w:fldCharType="end"/>
    </w:r>
  </w:p>
  <w:p w:rsidR="007330D1" w:rsidRDefault="00B961A9" w:rsidP="00C45B2F">
    <w:pPr>
      <w:pStyle w:val="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961A9" w:rsidRDefault="00B961A9" w:rsidP="00C45B2F">
      <w:pPr>
        <w:spacing w:after="0" w:line="240" w:lineRule="auto"/>
      </w:pPr>
      <w:r>
        <w:separator/>
      </w:r>
    </w:p>
  </w:footnote>
  <w:footnote w:type="continuationSeparator" w:id="0">
    <w:p w:rsidR="00B961A9" w:rsidRDefault="00B961A9" w:rsidP="00C45B2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45B2F" w:rsidRPr="00C45B2F" w:rsidRDefault="00C45B2F" w:rsidP="00C45B2F">
    <w:pPr>
      <w:pStyle w:val="stBilgi"/>
      <w:rPr>
        <w:rFonts w:ascii="Times New Roman" w:hAnsi="Times New Roman"/>
        <w:b/>
        <w:sz w:val="24"/>
      </w:rPr>
    </w:pPr>
    <w:r w:rsidRPr="00C45B2F">
      <w:rPr>
        <w:rFonts w:ascii="Times New Roman" w:hAnsi="Times New Roman"/>
        <w:b/>
        <w:sz w:val="24"/>
      </w:rPr>
      <w:t>Esas Sayısı:2013/16 (Siyasi Parti Mali Denetimi)</w:t>
    </w:r>
  </w:p>
  <w:p w:rsidR="00C45B2F" w:rsidRDefault="00C45B2F" w:rsidP="00C45B2F">
    <w:pPr>
      <w:pStyle w:val="stBilgi"/>
      <w:rPr>
        <w:rFonts w:ascii="Times New Roman" w:hAnsi="Times New Roman"/>
        <w:b/>
        <w:sz w:val="24"/>
      </w:rPr>
    </w:pPr>
    <w:r>
      <w:rPr>
        <w:rFonts w:ascii="Times New Roman" w:hAnsi="Times New Roman"/>
        <w:b/>
        <w:sz w:val="24"/>
      </w:rPr>
      <w:t>Karar Sayısı:2014/60</w:t>
    </w:r>
  </w:p>
  <w:p w:rsidR="007330D1" w:rsidRPr="00C45B2F" w:rsidRDefault="00B961A9" w:rsidP="00C45B2F">
    <w:pPr>
      <w:pStyle w:val="stBilgi"/>
      <w:rPr>
        <w:rFonts w:ascii="Times New Roman" w:hAnsi="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B2F"/>
    <w:rsid w:val="00B961A9"/>
    <w:rsid w:val="00C45B2F"/>
    <w:rsid w:val="00D12EB3"/>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8EF5E1-D1BF-4BE1-9060-6ECABE913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45B2F"/>
    <w:pPr>
      <w:spacing w:after="200" w:line="276" w:lineRule="auto"/>
    </w:pPr>
    <w:rPr>
      <w:rFonts w:ascii="Calibri" w:eastAsia="Times New Roman" w:hAnsi="Calibri" w:cs="Times New Roman"/>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ListParagraph">
    <w:name w:val="List Paragraph"/>
    <w:basedOn w:val="Normal"/>
    <w:rsid w:val="00C45B2F"/>
    <w:pPr>
      <w:ind w:left="720"/>
    </w:pPr>
  </w:style>
  <w:style w:type="paragraph" w:styleId="a">
    <w:basedOn w:val="Normal"/>
    <w:next w:val="stBilgi"/>
    <w:rsid w:val="00C45B2F"/>
    <w:pPr>
      <w:tabs>
        <w:tab w:val="center" w:pos="4536"/>
        <w:tab w:val="right" w:pos="9072"/>
      </w:tabs>
    </w:pPr>
  </w:style>
  <w:style w:type="character" w:styleId="SayfaNumaras">
    <w:name w:val="page number"/>
    <w:basedOn w:val="VarsaylanParagrafYazTipi"/>
    <w:rsid w:val="00C45B2F"/>
  </w:style>
  <w:style w:type="paragraph" w:styleId="GvdeMetniGirintisi2">
    <w:name w:val="Body Text Indent 2"/>
    <w:basedOn w:val="Normal"/>
    <w:link w:val="GvdeMetniGirintisi2Char"/>
    <w:rsid w:val="00C45B2F"/>
    <w:pPr>
      <w:spacing w:after="0" w:line="240" w:lineRule="auto"/>
      <w:ind w:left="360"/>
    </w:pPr>
    <w:rPr>
      <w:rFonts w:ascii="Times New Roman" w:hAnsi="Times New Roman"/>
      <w:sz w:val="24"/>
      <w:szCs w:val="24"/>
    </w:rPr>
  </w:style>
  <w:style w:type="character" w:customStyle="1" w:styleId="GvdeMetniGirintisi2Char">
    <w:name w:val="Gövde Metni Girintisi 2 Char"/>
    <w:basedOn w:val="VarsaylanParagrafYazTipi"/>
    <w:link w:val="GvdeMetniGirintisi2"/>
    <w:rsid w:val="00C45B2F"/>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C45B2F"/>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45B2F"/>
    <w:rPr>
      <w:rFonts w:ascii="Calibri" w:eastAsia="Times New Roman" w:hAnsi="Calibri" w:cs="Times New Roman"/>
      <w:lang w:eastAsia="tr-TR"/>
    </w:rPr>
  </w:style>
  <w:style w:type="paragraph" w:styleId="AltBilgi">
    <w:name w:val="footer"/>
    <w:basedOn w:val="Normal"/>
    <w:link w:val="AltBilgiChar"/>
    <w:uiPriority w:val="99"/>
    <w:unhideWhenUsed/>
    <w:rsid w:val="00C45B2F"/>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45B2F"/>
    <w:rPr>
      <w:rFonts w:ascii="Calibri" w:eastAsia="Times New Roman" w:hAnsi="Calibri" w:cs="Times New Roman"/>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doNotOrganizeInFold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4</Pages>
  <Words>1267</Words>
  <Characters>7224</Characters>
  <Application>Microsoft Office Word</Application>
  <DocSecurity>0</DocSecurity>
  <Lines>60</Lines>
  <Paragraphs>16</Paragraphs>
  <ScaleCrop>false</ScaleCrop>
  <Company/>
  <LinksUpToDate>false</LinksUpToDate>
  <CharactersWithSpaces>8475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Samil ESSIZ</dc:creator>
  <cp:keywords/>
  <dc:description/>
  <cp:lastModifiedBy>Samil ESSIZ</cp:lastModifiedBy>
  <cp:revision>1</cp:revision>
  <dcterms:created xsi:type="dcterms:W3CDTF">2020-06-15T12:34:00Z</dcterms:created>
  <dcterms:modified xsi:type="dcterms:W3CDTF">2020-06-15T12:36:00Z</dcterms:modified>
</cp:coreProperties>
</file>