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36C" w:rsidRDefault="00C8636C" w:rsidP="00D0764D">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C8636C">
        <w:rPr>
          <w:rFonts w:ascii="Times New Roman" w:hAnsi="Times New Roman"/>
          <w:b/>
          <w:bCs/>
          <w:caps/>
          <w:color w:val="010000"/>
          <w:sz w:val="24"/>
          <w:szCs w:val="30"/>
          <w:lang w:eastAsia="tr-TR"/>
        </w:rPr>
        <w:t>ANAYASA MAHKEMESİ KARARI</w:t>
      </w:r>
    </w:p>
    <w:p w:rsidR="00C8636C" w:rsidRPr="00C8636C" w:rsidRDefault="00C8636C" w:rsidP="00D0764D">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D0764D" w:rsidRDefault="00D0764D" w:rsidP="00D0764D">
      <w:pPr>
        <w:overflowPunct w:val="0"/>
        <w:autoSpaceDE w:val="0"/>
        <w:autoSpaceDN w:val="0"/>
        <w:spacing w:after="0" w:line="240" w:lineRule="auto"/>
        <w:rPr>
          <w:rFonts w:ascii="Times New Roman" w:hAnsi="Times New Roman"/>
          <w:b/>
          <w:color w:val="010000"/>
          <w:sz w:val="24"/>
          <w:szCs w:val="16"/>
          <w:lang w:eastAsia="tr-TR"/>
        </w:rPr>
      </w:pPr>
      <w:r>
        <w:rPr>
          <w:rFonts w:ascii="Times New Roman" w:hAnsi="Times New Roman"/>
          <w:b/>
          <w:color w:val="010000"/>
          <w:sz w:val="24"/>
          <w:szCs w:val="16"/>
          <w:lang w:eastAsia="tr-TR"/>
        </w:rPr>
        <w:t>Esas Sayısı:2012/28 (Siyasi Parti Mali Denetimi)</w:t>
      </w:r>
    </w:p>
    <w:p w:rsidR="00D0764D" w:rsidRDefault="00D0764D" w:rsidP="00D0764D">
      <w:pPr>
        <w:overflowPunct w:val="0"/>
        <w:autoSpaceDE w:val="0"/>
        <w:autoSpaceDN w:val="0"/>
        <w:spacing w:after="0" w:line="240" w:lineRule="auto"/>
        <w:rPr>
          <w:rFonts w:ascii="Times New Roman" w:hAnsi="Times New Roman"/>
          <w:b/>
          <w:color w:val="010000"/>
          <w:sz w:val="24"/>
          <w:szCs w:val="16"/>
          <w:lang w:eastAsia="tr-TR"/>
        </w:rPr>
      </w:pPr>
      <w:r>
        <w:rPr>
          <w:rFonts w:ascii="Times New Roman" w:hAnsi="Times New Roman"/>
          <w:b/>
          <w:color w:val="010000"/>
          <w:sz w:val="24"/>
          <w:szCs w:val="16"/>
          <w:lang w:eastAsia="tr-TR"/>
        </w:rPr>
        <w:t>Karar Sayısı:2014/31</w:t>
      </w:r>
    </w:p>
    <w:p w:rsidR="00D0764D" w:rsidRDefault="00D0764D" w:rsidP="00D0764D">
      <w:pPr>
        <w:overflowPunct w:val="0"/>
        <w:autoSpaceDE w:val="0"/>
        <w:autoSpaceDN w:val="0"/>
        <w:spacing w:after="0" w:line="240" w:lineRule="auto"/>
        <w:rPr>
          <w:rFonts w:ascii="Times New Roman" w:hAnsi="Times New Roman"/>
          <w:b/>
          <w:color w:val="010000"/>
          <w:sz w:val="24"/>
          <w:szCs w:val="16"/>
          <w:lang w:eastAsia="tr-TR"/>
        </w:rPr>
      </w:pPr>
      <w:r>
        <w:rPr>
          <w:rFonts w:ascii="Times New Roman" w:hAnsi="Times New Roman"/>
          <w:b/>
          <w:color w:val="010000"/>
          <w:sz w:val="24"/>
          <w:szCs w:val="16"/>
          <w:lang w:eastAsia="tr-TR"/>
        </w:rPr>
        <w:t>Karar Günü:11.2.2014</w:t>
      </w:r>
    </w:p>
    <w:p w:rsidR="00D0764D" w:rsidRDefault="00D0764D" w:rsidP="00D0764D">
      <w:pPr>
        <w:overflowPunct w:val="0"/>
        <w:autoSpaceDE w:val="0"/>
        <w:autoSpaceDN w:val="0"/>
        <w:spacing w:after="0" w:line="240" w:lineRule="auto"/>
        <w:rPr>
          <w:rFonts w:ascii="Times New Roman" w:hAnsi="Times New Roman"/>
          <w:b/>
          <w:color w:val="010000"/>
          <w:sz w:val="24"/>
          <w:szCs w:val="16"/>
          <w:lang w:eastAsia="tr-TR"/>
        </w:rPr>
      </w:pPr>
      <w:r>
        <w:rPr>
          <w:rFonts w:ascii="Times New Roman" w:hAnsi="Times New Roman"/>
          <w:b/>
          <w:color w:val="010000"/>
          <w:sz w:val="24"/>
          <w:szCs w:val="16"/>
          <w:lang w:eastAsia="tr-TR"/>
        </w:rPr>
        <w:t>R.G. Tarih-Sayı:22.04.2014-28980</w:t>
      </w:r>
    </w:p>
    <w:p w:rsidR="00C8636C" w:rsidRPr="00D0764D" w:rsidRDefault="00C8636C" w:rsidP="00D0764D">
      <w:pPr>
        <w:overflowPunct w:val="0"/>
        <w:autoSpaceDE w:val="0"/>
        <w:autoSpaceDN w:val="0"/>
        <w:spacing w:after="0" w:line="240" w:lineRule="auto"/>
        <w:rPr>
          <w:rFonts w:ascii="Times New Roman" w:hAnsi="Times New Roman"/>
          <w:b/>
          <w:color w:val="010000"/>
          <w:sz w:val="24"/>
          <w:szCs w:val="16"/>
          <w:lang w:eastAsia="tr-TR"/>
        </w:rPr>
      </w:pPr>
    </w:p>
    <w:p w:rsidR="00C8636C" w:rsidRPr="00C8636C" w:rsidRDefault="00C8636C" w:rsidP="00D0764D">
      <w:pPr>
        <w:overflowPunct w:val="0"/>
        <w:autoSpaceDE w:val="0"/>
        <w:autoSpaceDN w:val="0"/>
        <w:spacing w:line="240" w:lineRule="auto"/>
        <w:ind w:right="283" w:firstLine="709"/>
        <w:jc w:val="both"/>
        <w:rPr>
          <w:rFonts w:ascii="Times New Roman" w:hAnsi="Times New Roman"/>
          <w:color w:val="010000"/>
          <w:sz w:val="24"/>
          <w:lang w:eastAsia="tr-TR"/>
        </w:rPr>
      </w:pPr>
      <w:r w:rsidRPr="00C8636C">
        <w:rPr>
          <w:rFonts w:ascii="Times New Roman" w:hAnsi="Times New Roman"/>
          <w:b/>
          <w:bCs/>
          <w:color w:val="010000"/>
          <w:sz w:val="24"/>
          <w:lang w:eastAsia="tr-TR"/>
        </w:rPr>
        <w:t>I- MALİ DENETİMİN KONUSU</w:t>
      </w:r>
      <w:r w:rsidRPr="00C8636C">
        <w:rPr>
          <w:rFonts w:ascii="Times New Roman" w:hAnsi="Times New Roman"/>
          <w:color w:val="010000"/>
          <w:sz w:val="24"/>
          <w:lang w:eastAsia="tr-TR"/>
        </w:rPr>
        <w:t xml:space="preserve"> </w:t>
      </w:r>
    </w:p>
    <w:p w:rsidR="00C8636C" w:rsidRPr="00C8636C" w:rsidRDefault="00C8636C" w:rsidP="00D0764D">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8636C">
        <w:rPr>
          <w:rFonts w:ascii="Times New Roman" w:hAnsi="Times New Roman"/>
          <w:color w:val="010000"/>
          <w:sz w:val="24"/>
          <w:szCs w:val="19"/>
          <w:lang w:eastAsia="tr-TR"/>
        </w:rPr>
        <w:t>Türkiye Hümanist Partisi 2011 yılı kesin hesabının incelenmesidir.</w:t>
      </w:r>
    </w:p>
    <w:p w:rsidR="00C8636C" w:rsidRPr="00C8636C" w:rsidRDefault="00C8636C" w:rsidP="00D0764D">
      <w:pPr>
        <w:overflowPunct w:val="0"/>
        <w:autoSpaceDE w:val="0"/>
        <w:autoSpaceDN w:val="0"/>
        <w:spacing w:line="240" w:lineRule="auto"/>
        <w:ind w:right="283" w:firstLine="709"/>
        <w:jc w:val="both"/>
        <w:rPr>
          <w:rFonts w:ascii="Times New Roman" w:hAnsi="Times New Roman"/>
          <w:color w:val="010000"/>
          <w:sz w:val="24"/>
          <w:lang w:eastAsia="tr-TR"/>
        </w:rPr>
      </w:pPr>
      <w:r w:rsidRPr="00C8636C">
        <w:rPr>
          <w:rFonts w:ascii="Times New Roman" w:hAnsi="Times New Roman"/>
          <w:b/>
          <w:bCs/>
          <w:color w:val="010000"/>
          <w:sz w:val="24"/>
          <w:lang w:eastAsia="tr-TR"/>
        </w:rPr>
        <w:t xml:space="preserve">II- İLK İNCELEME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 xml:space="preserve">Anayasa Mahkemesi İçtüzüğü hükümleri uyarınca </w:t>
      </w:r>
      <w:proofErr w:type="spellStart"/>
      <w:r w:rsidRPr="00C8636C">
        <w:rPr>
          <w:rFonts w:ascii="Times New Roman" w:hAnsi="Times New Roman"/>
          <w:color w:val="010000"/>
          <w:sz w:val="24"/>
          <w:szCs w:val="19"/>
        </w:rPr>
        <w:t>Serruh</w:t>
      </w:r>
      <w:proofErr w:type="spellEnd"/>
      <w:r w:rsidRPr="00C8636C">
        <w:rPr>
          <w:rFonts w:ascii="Times New Roman" w:hAnsi="Times New Roman"/>
          <w:color w:val="010000"/>
          <w:sz w:val="24"/>
          <w:szCs w:val="19"/>
        </w:rPr>
        <w:t xml:space="preserve"> KALELİ, Alparslan ALTAN, Mehmet ERTEN, Serdar ÖZGÜLDÜR, Osman </w:t>
      </w:r>
      <w:proofErr w:type="spellStart"/>
      <w:r w:rsidRPr="00C8636C">
        <w:rPr>
          <w:rFonts w:ascii="Times New Roman" w:hAnsi="Times New Roman"/>
          <w:color w:val="010000"/>
          <w:sz w:val="24"/>
          <w:szCs w:val="19"/>
        </w:rPr>
        <w:t>Alifeyyaz</w:t>
      </w:r>
      <w:proofErr w:type="spellEnd"/>
      <w:r w:rsidRPr="00C8636C">
        <w:rPr>
          <w:rFonts w:ascii="Times New Roman" w:hAnsi="Times New Roman"/>
          <w:color w:val="010000"/>
          <w:sz w:val="24"/>
          <w:szCs w:val="19"/>
        </w:rPr>
        <w:t xml:space="preserve"> PAKSÜT, Zehra Ayla PERKTAŞ, Recep KÖMÜRCÜ, Burhan ÜSTÜN, Engin YILDIRIM, Nuri NECİPOĞLU, </w:t>
      </w:r>
      <w:proofErr w:type="spellStart"/>
      <w:r w:rsidRPr="00C8636C">
        <w:rPr>
          <w:rFonts w:ascii="Times New Roman" w:hAnsi="Times New Roman"/>
          <w:color w:val="010000"/>
          <w:sz w:val="24"/>
          <w:szCs w:val="19"/>
        </w:rPr>
        <w:t>Hicabi</w:t>
      </w:r>
      <w:proofErr w:type="spellEnd"/>
      <w:r w:rsidRPr="00C8636C">
        <w:rPr>
          <w:rFonts w:ascii="Times New Roman" w:hAnsi="Times New Roman"/>
          <w:color w:val="010000"/>
          <w:sz w:val="24"/>
          <w:szCs w:val="19"/>
        </w:rPr>
        <w:t xml:space="preserve"> DURSUN, Celal Mümtaz AKINCI, Erdal TERCAN, Muammer TOPAL ve Zühtü </w:t>
      </w:r>
      <w:proofErr w:type="spellStart"/>
      <w:r w:rsidRPr="00C8636C">
        <w:rPr>
          <w:rFonts w:ascii="Times New Roman" w:hAnsi="Times New Roman"/>
          <w:color w:val="010000"/>
          <w:sz w:val="24"/>
          <w:szCs w:val="19"/>
        </w:rPr>
        <w:t>ARSLAN’ın</w:t>
      </w:r>
      <w:proofErr w:type="spellEnd"/>
      <w:r w:rsidRPr="00C8636C">
        <w:rPr>
          <w:rFonts w:ascii="Times New Roman" w:hAnsi="Times New Roman"/>
          <w:color w:val="010000"/>
          <w:sz w:val="24"/>
          <w:szCs w:val="19"/>
        </w:rPr>
        <w:t xml:space="preserve"> katılımlarıyla 20.2.2013 gününde yapılan ilk inceleme toplantısında;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Türkiye Hümanist Partisinin 2011 yılı kesin hesabının incelenmesi sonucunda; hiçbir il ve ilçede teşkilatlanmadığı için sadece genel merkezi bulunan Partinin, herhangi bir gelir ve giderinin bulunmadığına ilişkin bir yazı gönderdiği tespit edilmiştir.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Siyasi partilerin faaliyetlerini yürütecekleri bir genel merkezinin bulunması zorunludur. Genel merkez olarak kullanılacak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 Böylece, söz konusu bedellerin parti tüzel kişiliği adına hesaplara dâhil edilmesi sağlanmış olacaktır.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Diğer taraftan, kurulmuş olan partilerin hayatın olağan akışı gereği kira, su, elektrik, telefon, kırtasiye, tutulacak defterlerin satın alınması vb. bir takım genel yönetim giderlerini yapacağı açıktır.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dâhil edilmesi gerekir.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 xml:space="preserve">Sonuç olarak;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lastRenderedPageBreak/>
        <w:t>1- Türkiye Hümanist Partisine,</w:t>
      </w:r>
      <w:r w:rsidRPr="00C8636C">
        <w:rPr>
          <w:rFonts w:ascii="Times New Roman" w:hAnsi="Times New Roman"/>
          <w:color w:val="010000"/>
          <w:sz w:val="24"/>
          <w:szCs w:val="19"/>
        </w:rPr>
        <w:t xml:space="preserve"> </w:t>
      </w:r>
      <w:r w:rsidRPr="00C8636C">
        <w:rPr>
          <w:rFonts w:ascii="Times New Roman" w:hAnsi="Times New Roman"/>
          <w:color w:val="010000"/>
          <w:sz w:val="24"/>
          <w:szCs w:val="19"/>
        </w:rPr>
        <w:t xml:space="preserve">2011 yılı kesin hesabını yapılan bu açıklamalara uygun olarak sunmaması nedenlerinin açıklaması ve 2820 sayılı Kanun’a uygun olarak düzenlenecek kesin hesap cetvelleri ile Merkez Karar Ve Yönetim Kurulu kararını Anayasa Mahkemesine sunması için bu kararın tebliğinden itibaren 30 gün süre verilmesine,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2- 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w:t>
      </w:r>
      <w:proofErr w:type="gramStart"/>
      <w:r w:rsidRPr="00C8636C">
        <w:rPr>
          <w:rFonts w:ascii="Times New Roman" w:hAnsi="Times New Roman"/>
          <w:color w:val="010000"/>
          <w:sz w:val="24"/>
          <w:szCs w:val="19"/>
        </w:rPr>
        <w:t>c )</w:t>
      </w:r>
      <w:proofErr w:type="gramEnd"/>
      <w:r w:rsidRPr="00C8636C">
        <w:rPr>
          <w:rFonts w:ascii="Times New Roman" w:hAnsi="Times New Roman"/>
          <w:color w:val="010000"/>
          <w:sz w:val="24"/>
          <w:szCs w:val="19"/>
        </w:rPr>
        <w:t xml:space="preserve"> bendi uyarınca yasal işlem yapılması için Ankara Cumhuriyet Başsavcılığına suç duyurusunda bulunulacağının Partiye bildirilmesine</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OYBİRLİĞİYLE karar verilmiştir.</w:t>
      </w:r>
    </w:p>
    <w:p w:rsidR="00C8636C" w:rsidRPr="00C8636C" w:rsidRDefault="00C8636C" w:rsidP="00D0764D">
      <w:pPr>
        <w:spacing w:line="240" w:lineRule="auto"/>
        <w:ind w:right="283" w:firstLine="709"/>
        <w:jc w:val="both"/>
        <w:rPr>
          <w:rFonts w:ascii="Times New Roman" w:hAnsi="Times New Roman"/>
          <w:b/>
          <w:color w:val="010000"/>
          <w:sz w:val="24"/>
        </w:rPr>
      </w:pPr>
      <w:r w:rsidRPr="00C8636C">
        <w:rPr>
          <w:rFonts w:ascii="Times New Roman" w:hAnsi="Times New Roman"/>
          <w:b/>
          <w:color w:val="010000"/>
          <w:sz w:val="24"/>
        </w:rPr>
        <w:t xml:space="preserve">III- </w:t>
      </w:r>
      <w:r w:rsidRPr="00C8636C">
        <w:rPr>
          <w:rFonts w:ascii="Times New Roman" w:hAnsi="Times New Roman"/>
          <w:b/>
          <w:bCs/>
          <w:color w:val="010000"/>
          <w:sz w:val="24"/>
          <w:lang w:eastAsia="tr-TR"/>
        </w:rPr>
        <w:t>ESAS İNCELEME</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 xml:space="preserve">Anayasa Mahkemesinin 20.2.2013 günlü ve E.2012/28 sayılı kararı 12.4.2013 gününde Türkiye Hümanist Partisine tebliğ edilmesine rağmen, Parti kendisine tanınan 30 günlük süre içerisinde açıklamada bulunmamış ve </w:t>
      </w:r>
      <w:proofErr w:type="gramStart"/>
      <w:r w:rsidRPr="00C8636C">
        <w:rPr>
          <w:rFonts w:ascii="Times New Roman" w:hAnsi="Times New Roman"/>
          <w:color w:val="010000"/>
          <w:sz w:val="24"/>
          <w:szCs w:val="19"/>
        </w:rPr>
        <w:t>her hangi</w:t>
      </w:r>
      <w:proofErr w:type="gramEnd"/>
      <w:r w:rsidRPr="00C8636C">
        <w:rPr>
          <w:rFonts w:ascii="Times New Roman" w:hAnsi="Times New Roman"/>
          <w:color w:val="010000"/>
          <w:sz w:val="24"/>
          <w:szCs w:val="19"/>
        </w:rPr>
        <w:t xml:space="preserve"> bir belge de göndermemiştir.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Bunun üzerine Anayasa Mahkemesi, 20.2.2013 günlü ve E.2012/28 sayılı kararının gereğinin yapılması için 28.5.2013 gününde Ankara Cumhuriyet Başsavcılığına suç duyurusunda bulunmuştur.</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lang w:eastAsia="tr-TR"/>
        </w:rPr>
        <w:t>Diğer taraftan, gelir ve gideri olmadığı beyan edilerek herhangi bir bilgi ve belge ibraz edilmeyen Parti hesabının denetimi gerçekleştirilemediğinden, Partinin 2011 yılı hesabının 2820 sayılı Kanun uyarınca kabul edilmesinin mümkün olmadığına karar vermek gerekmiştir.</w:t>
      </w:r>
    </w:p>
    <w:p w:rsidR="00C8636C" w:rsidRPr="00C8636C" w:rsidRDefault="00C8636C" w:rsidP="00D0764D">
      <w:pPr>
        <w:spacing w:line="240" w:lineRule="auto"/>
        <w:ind w:right="283" w:firstLine="709"/>
        <w:jc w:val="both"/>
        <w:rPr>
          <w:rFonts w:ascii="Times New Roman" w:hAnsi="Times New Roman"/>
          <w:b/>
          <w:color w:val="010000"/>
          <w:sz w:val="24"/>
        </w:rPr>
      </w:pPr>
      <w:r w:rsidRPr="00C8636C">
        <w:rPr>
          <w:rFonts w:ascii="Times New Roman" w:hAnsi="Times New Roman"/>
          <w:b/>
          <w:color w:val="010000"/>
          <w:sz w:val="24"/>
        </w:rPr>
        <w:t>IV- SONUÇ</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Türkiye Hümanist Partisinin 2011 yılı kesin hesabının incelenmesi sonucunda;</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 xml:space="preserve">Gelir ve giderinin olmadığı beyan edilerek </w:t>
      </w:r>
      <w:proofErr w:type="gramStart"/>
      <w:r w:rsidRPr="00C8636C">
        <w:rPr>
          <w:rFonts w:ascii="Times New Roman" w:hAnsi="Times New Roman"/>
          <w:color w:val="010000"/>
          <w:sz w:val="24"/>
          <w:szCs w:val="19"/>
        </w:rPr>
        <w:t>her hangi</w:t>
      </w:r>
      <w:proofErr w:type="gramEnd"/>
      <w:r w:rsidRPr="00C8636C">
        <w:rPr>
          <w:rFonts w:ascii="Times New Roman" w:hAnsi="Times New Roman"/>
          <w:color w:val="010000"/>
          <w:sz w:val="24"/>
          <w:szCs w:val="19"/>
        </w:rPr>
        <w:t xml:space="preserve"> bir bilgi ve belge ibraz edilmeyen Parti hesabının denetimi gerçekleştirilemediğinden, Partinin 2011 yılı hesabının 2820 sayılı Kanun uyarınca kabul edilmesinin mümkün olmadığına, </w:t>
      </w:r>
    </w:p>
    <w:p w:rsidR="00C8636C" w:rsidRPr="00C8636C" w:rsidRDefault="00C8636C" w:rsidP="00D0764D">
      <w:pPr>
        <w:spacing w:line="240" w:lineRule="auto"/>
        <w:ind w:right="283" w:firstLine="709"/>
        <w:jc w:val="both"/>
        <w:rPr>
          <w:rFonts w:ascii="Times New Roman" w:hAnsi="Times New Roman"/>
          <w:color w:val="010000"/>
          <w:sz w:val="24"/>
          <w:szCs w:val="19"/>
        </w:rPr>
      </w:pPr>
      <w:r w:rsidRPr="00C8636C">
        <w:rPr>
          <w:rFonts w:ascii="Times New Roman" w:hAnsi="Times New Roman"/>
          <w:color w:val="010000"/>
          <w:sz w:val="24"/>
          <w:szCs w:val="19"/>
        </w:rPr>
        <w:t>11.2.2014 gününde OYBİRLİĞİYLE karar verildi.</w:t>
      </w:r>
    </w:p>
    <w:p w:rsidR="00D0764D" w:rsidRDefault="00D0764D">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401"/>
        <w:gridCol w:w="3263"/>
        <w:gridCol w:w="3116"/>
      </w:tblGrid>
      <w:tr w:rsidR="00D0764D" w:rsidRPr="00C8636C" w:rsidTr="00D0764D">
        <w:trPr>
          <w:jc w:val="center"/>
        </w:trPr>
        <w:tc>
          <w:tcPr>
            <w:tcW w:w="1739"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Başkan</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Haşim KILIÇ</w:t>
            </w:r>
          </w:p>
        </w:tc>
        <w:tc>
          <w:tcPr>
            <w:tcW w:w="1668"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Başkanvekili</w:t>
            </w:r>
          </w:p>
          <w:p w:rsidR="00C8636C" w:rsidRPr="00C8636C" w:rsidRDefault="00C8636C" w:rsidP="00D0764D">
            <w:pPr>
              <w:spacing w:before="240" w:after="240" w:line="240" w:lineRule="auto"/>
              <w:jc w:val="center"/>
              <w:rPr>
                <w:rFonts w:ascii="Times New Roman" w:hAnsi="Times New Roman"/>
                <w:color w:val="010000"/>
                <w:sz w:val="24"/>
                <w:szCs w:val="19"/>
              </w:rPr>
            </w:pPr>
            <w:proofErr w:type="spellStart"/>
            <w:r w:rsidRPr="00C8636C">
              <w:rPr>
                <w:rFonts w:ascii="Times New Roman" w:hAnsi="Times New Roman"/>
                <w:color w:val="010000"/>
                <w:sz w:val="24"/>
                <w:szCs w:val="19"/>
              </w:rPr>
              <w:t>Serruh</w:t>
            </w:r>
            <w:proofErr w:type="spellEnd"/>
            <w:r w:rsidRPr="00C8636C">
              <w:rPr>
                <w:rFonts w:ascii="Times New Roman" w:hAnsi="Times New Roman"/>
                <w:color w:val="010000"/>
                <w:sz w:val="24"/>
                <w:szCs w:val="19"/>
              </w:rPr>
              <w:t xml:space="preserve"> KALELİ</w:t>
            </w:r>
          </w:p>
        </w:tc>
        <w:tc>
          <w:tcPr>
            <w:tcW w:w="1593"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Başkanvekili</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Alparslan ALTAN</w:t>
            </w:r>
          </w:p>
        </w:tc>
      </w:tr>
      <w:tr w:rsidR="00C8636C" w:rsidRPr="00C8636C" w:rsidTr="00D0764D">
        <w:tblPrEx>
          <w:tblCellMar>
            <w:left w:w="108" w:type="dxa"/>
            <w:right w:w="108" w:type="dxa"/>
          </w:tblCellMar>
          <w:tblLook w:val="01E0" w:firstRow="1" w:lastRow="1" w:firstColumn="1" w:lastColumn="1" w:noHBand="0" w:noVBand="0"/>
        </w:tblPrEx>
        <w:trPr>
          <w:jc w:val="center"/>
        </w:trPr>
        <w:tc>
          <w:tcPr>
            <w:tcW w:w="1739" w:type="pct"/>
          </w:tcPr>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Serdar ÖZGÜLDÜR</w:t>
            </w:r>
          </w:p>
        </w:tc>
        <w:tc>
          <w:tcPr>
            <w:tcW w:w="1668" w:type="pct"/>
          </w:tcPr>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 xml:space="preserve"> </w:t>
            </w:r>
            <w:r w:rsidRPr="00C8636C">
              <w:rPr>
                <w:rFonts w:ascii="Times New Roman" w:hAnsi="Times New Roman"/>
                <w:color w:val="010000"/>
                <w:sz w:val="24"/>
                <w:szCs w:val="19"/>
              </w:rPr>
              <w:t xml:space="preserve">Osman </w:t>
            </w:r>
            <w:proofErr w:type="spellStart"/>
            <w:r w:rsidRPr="00C8636C">
              <w:rPr>
                <w:rFonts w:ascii="Times New Roman" w:hAnsi="Times New Roman"/>
                <w:color w:val="010000"/>
                <w:sz w:val="24"/>
                <w:szCs w:val="19"/>
              </w:rPr>
              <w:t>Alifeyyaz</w:t>
            </w:r>
            <w:proofErr w:type="spellEnd"/>
            <w:r w:rsidRPr="00C8636C">
              <w:rPr>
                <w:rFonts w:ascii="Times New Roman" w:hAnsi="Times New Roman"/>
                <w:color w:val="010000"/>
                <w:sz w:val="24"/>
                <w:szCs w:val="19"/>
              </w:rPr>
              <w:t xml:space="preserve"> PAKSÜT</w:t>
            </w:r>
          </w:p>
        </w:tc>
        <w:tc>
          <w:tcPr>
            <w:tcW w:w="1593" w:type="pct"/>
          </w:tcPr>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overflowPunct w:val="0"/>
              <w:autoSpaceDE w:val="0"/>
              <w:autoSpaceDN w:val="0"/>
              <w:adjustRightInd w:val="0"/>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Zehra Ayla PERKTAŞ</w:t>
            </w:r>
          </w:p>
        </w:tc>
      </w:tr>
      <w:tr w:rsidR="00D0764D" w:rsidRPr="00C8636C" w:rsidTr="00D0764D">
        <w:trPr>
          <w:jc w:val="center"/>
        </w:trPr>
        <w:tc>
          <w:tcPr>
            <w:tcW w:w="1739"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 xml:space="preserve"> Recep KÖMÜRCÜ</w:t>
            </w:r>
          </w:p>
        </w:tc>
        <w:tc>
          <w:tcPr>
            <w:tcW w:w="1668"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 xml:space="preserve"> </w:t>
            </w:r>
            <w:r w:rsidRPr="00C8636C">
              <w:rPr>
                <w:rFonts w:ascii="Times New Roman" w:hAnsi="Times New Roman"/>
                <w:color w:val="010000"/>
                <w:sz w:val="24"/>
                <w:szCs w:val="19"/>
              </w:rPr>
              <w:t>Burhan ÜSTÜN</w:t>
            </w:r>
          </w:p>
        </w:tc>
        <w:tc>
          <w:tcPr>
            <w:tcW w:w="1593"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Engin YILDIRIM</w:t>
            </w:r>
          </w:p>
        </w:tc>
      </w:tr>
      <w:tr w:rsidR="00D0764D" w:rsidRPr="00C8636C" w:rsidTr="00D0764D">
        <w:trPr>
          <w:jc w:val="center"/>
        </w:trPr>
        <w:tc>
          <w:tcPr>
            <w:tcW w:w="1739"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lastRenderedPageBreak/>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Nuri NECİPOĞLU</w:t>
            </w:r>
          </w:p>
        </w:tc>
        <w:tc>
          <w:tcPr>
            <w:tcW w:w="1668"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Celal Mümtaz AKINCI</w:t>
            </w:r>
          </w:p>
        </w:tc>
        <w:tc>
          <w:tcPr>
            <w:tcW w:w="1593"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Erdal TERCAN</w:t>
            </w:r>
          </w:p>
        </w:tc>
      </w:tr>
      <w:tr w:rsidR="00D0764D" w:rsidRPr="00C8636C" w:rsidTr="00D0764D">
        <w:trPr>
          <w:jc w:val="center"/>
        </w:trPr>
        <w:tc>
          <w:tcPr>
            <w:tcW w:w="1739"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Muammer TOPAL</w:t>
            </w:r>
          </w:p>
        </w:tc>
        <w:tc>
          <w:tcPr>
            <w:tcW w:w="1668"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Zühtü ARSLAN</w:t>
            </w:r>
          </w:p>
        </w:tc>
        <w:tc>
          <w:tcPr>
            <w:tcW w:w="1593" w:type="pct"/>
          </w:tcPr>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Üye</w:t>
            </w:r>
          </w:p>
          <w:p w:rsidR="00C8636C" w:rsidRPr="00C8636C" w:rsidRDefault="00C8636C" w:rsidP="00D0764D">
            <w:pPr>
              <w:spacing w:before="240" w:after="240" w:line="240" w:lineRule="auto"/>
              <w:jc w:val="center"/>
              <w:rPr>
                <w:rFonts w:ascii="Times New Roman" w:hAnsi="Times New Roman"/>
                <w:color w:val="010000"/>
                <w:sz w:val="24"/>
                <w:szCs w:val="19"/>
              </w:rPr>
            </w:pPr>
            <w:r w:rsidRPr="00C8636C">
              <w:rPr>
                <w:rFonts w:ascii="Times New Roman" w:hAnsi="Times New Roman"/>
                <w:color w:val="010000"/>
                <w:sz w:val="24"/>
                <w:szCs w:val="19"/>
              </w:rPr>
              <w:t>M. Emin KUZ</w:t>
            </w:r>
          </w:p>
        </w:tc>
      </w:tr>
    </w:tbl>
    <w:p w:rsidR="00C8636C" w:rsidRPr="00C8636C" w:rsidRDefault="00C8636C" w:rsidP="00D0764D">
      <w:pPr>
        <w:spacing w:line="240" w:lineRule="auto"/>
        <w:ind w:right="283" w:firstLine="709"/>
        <w:jc w:val="both"/>
        <w:rPr>
          <w:rFonts w:ascii="Times New Roman" w:hAnsi="Times New Roman"/>
          <w:color w:val="010000"/>
          <w:sz w:val="24"/>
        </w:rPr>
      </w:pPr>
    </w:p>
    <w:sectPr w:rsidR="00C8636C" w:rsidRPr="00C8636C" w:rsidSect="00D0764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C9E" w:rsidRDefault="009A3C9E" w:rsidP="00D0764D">
      <w:pPr>
        <w:spacing w:after="0" w:line="240" w:lineRule="auto"/>
      </w:pPr>
      <w:r>
        <w:separator/>
      </w:r>
    </w:p>
  </w:endnote>
  <w:endnote w:type="continuationSeparator" w:id="0">
    <w:p w:rsidR="009A3C9E" w:rsidRDefault="009A3C9E" w:rsidP="00D0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4E" w:rsidRDefault="009A3C9E" w:rsidP="00D0764D">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75B4E" w:rsidRDefault="009A3C9E" w:rsidP="00D0764D">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4E" w:rsidRPr="00D0764D" w:rsidRDefault="009A3C9E" w:rsidP="00D0764D">
    <w:pPr>
      <w:pStyle w:val="a"/>
      <w:framePr w:wrap="around" w:vAnchor="text" w:hAnchor="margin" w:xAlign="right" w:y="1"/>
      <w:rPr>
        <w:rStyle w:val="SayfaNumaras"/>
        <w:rFonts w:ascii="Times New Roman" w:hAnsi="Times New Roman"/>
        <w:sz w:val="24"/>
      </w:rPr>
    </w:pPr>
    <w:r w:rsidRPr="00D0764D">
      <w:rPr>
        <w:rStyle w:val="SayfaNumaras"/>
        <w:rFonts w:ascii="Times New Roman" w:hAnsi="Times New Roman"/>
        <w:sz w:val="24"/>
      </w:rPr>
      <w:fldChar w:fldCharType="begin"/>
    </w:r>
    <w:r w:rsidRPr="00D0764D">
      <w:rPr>
        <w:rStyle w:val="SayfaNumaras"/>
        <w:rFonts w:ascii="Times New Roman" w:hAnsi="Times New Roman"/>
        <w:sz w:val="24"/>
      </w:rPr>
      <w:instrText xml:space="preserve">PAGE  </w:instrText>
    </w:r>
    <w:r w:rsidRPr="00D0764D">
      <w:rPr>
        <w:rStyle w:val="SayfaNumaras"/>
        <w:rFonts w:ascii="Times New Roman" w:hAnsi="Times New Roman"/>
        <w:sz w:val="24"/>
      </w:rPr>
      <w:fldChar w:fldCharType="separate"/>
    </w:r>
    <w:r w:rsidRPr="00D0764D">
      <w:rPr>
        <w:rStyle w:val="SayfaNumaras"/>
        <w:rFonts w:ascii="Times New Roman" w:hAnsi="Times New Roman"/>
        <w:noProof/>
        <w:sz w:val="24"/>
      </w:rPr>
      <w:t>3</w:t>
    </w:r>
    <w:r w:rsidRPr="00D0764D">
      <w:rPr>
        <w:rStyle w:val="SayfaNumaras"/>
        <w:rFonts w:ascii="Times New Roman" w:hAnsi="Times New Roman"/>
        <w:sz w:val="24"/>
      </w:rPr>
      <w:fldChar w:fldCharType="end"/>
    </w:r>
  </w:p>
  <w:p w:rsidR="00E75B4E" w:rsidRDefault="009A3C9E" w:rsidP="00D0764D">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C9E" w:rsidRDefault="009A3C9E" w:rsidP="00D0764D">
      <w:pPr>
        <w:spacing w:after="0" w:line="240" w:lineRule="auto"/>
      </w:pPr>
      <w:r>
        <w:separator/>
      </w:r>
    </w:p>
  </w:footnote>
  <w:footnote w:type="continuationSeparator" w:id="0">
    <w:p w:rsidR="009A3C9E" w:rsidRDefault="009A3C9E" w:rsidP="00D0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64D" w:rsidRPr="00D0764D" w:rsidRDefault="00D0764D" w:rsidP="00D0764D">
    <w:pPr>
      <w:pStyle w:val="stBilgi"/>
      <w:rPr>
        <w:rFonts w:ascii="Times New Roman" w:hAnsi="Times New Roman"/>
        <w:b/>
        <w:sz w:val="24"/>
      </w:rPr>
    </w:pPr>
    <w:r w:rsidRPr="00D0764D">
      <w:rPr>
        <w:rFonts w:ascii="Times New Roman" w:hAnsi="Times New Roman"/>
        <w:b/>
        <w:sz w:val="24"/>
      </w:rPr>
      <w:t>Esas Sayısı:2012/28 (Siyasi Parti Mali Denetimi)</w:t>
    </w:r>
  </w:p>
  <w:p w:rsidR="00D0764D" w:rsidRDefault="00D0764D" w:rsidP="00D0764D">
    <w:pPr>
      <w:pStyle w:val="stBilgi"/>
      <w:rPr>
        <w:rFonts w:ascii="Times New Roman" w:hAnsi="Times New Roman"/>
        <w:b/>
        <w:sz w:val="24"/>
      </w:rPr>
    </w:pPr>
    <w:r>
      <w:rPr>
        <w:rFonts w:ascii="Times New Roman" w:hAnsi="Times New Roman"/>
        <w:b/>
        <w:sz w:val="24"/>
      </w:rPr>
      <w:t>Karar Sayısı:2014/31</w:t>
    </w:r>
  </w:p>
  <w:p w:rsidR="00E75B4E" w:rsidRPr="00D0764D" w:rsidRDefault="009A3C9E" w:rsidP="00D0764D">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6C"/>
    <w:rsid w:val="001763F2"/>
    <w:rsid w:val="009A3C9E"/>
    <w:rsid w:val="00C8636C"/>
    <w:rsid w:val="00D0764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FBFA0-3594-4AB8-BC5D-6ECA76FF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36C"/>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C8636C"/>
    <w:pPr>
      <w:tabs>
        <w:tab w:val="center" w:pos="4536"/>
        <w:tab w:val="right" w:pos="9072"/>
      </w:tabs>
    </w:pPr>
  </w:style>
  <w:style w:type="character" w:styleId="SayfaNumaras">
    <w:name w:val="page number"/>
    <w:basedOn w:val="VarsaylanParagrafYazTipi"/>
    <w:rsid w:val="00C8636C"/>
  </w:style>
  <w:style w:type="paragraph" w:styleId="stBilgi">
    <w:name w:val="header"/>
    <w:basedOn w:val="Normal"/>
    <w:link w:val="stBilgiChar"/>
    <w:uiPriority w:val="99"/>
    <w:unhideWhenUsed/>
    <w:rsid w:val="00C863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636C"/>
    <w:rPr>
      <w:rFonts w:ascii="Calibri" w:eastAsia="Times New Roman" w:hAnsi="Calibri" w:cs="Times New Roman"/>
    </w:rPr>
  </w:style>
  <w:style w:type="paragraph" w:styleId="AltBilgi">
    <w:name w:val="footer"/>
    <w:basedOn w:val="Normal"/>
    <w:link w:val="AltBilgiChar"/>
    <w:uiPriority w:val="99"/>
    <w:unhideWhenUsed/>
    <w:rsid w:val="00D076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764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760</Words>
  <Characters>4335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2020-06-15T09:25:00Z</dcterms:created>
  <dcterms:modified xsi:type="dcterms:W3CDTF">2020-06-15T09:56:00Z</dcterms:modified>
</cp:coreProperties>
</file>