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7C4" w:rsidRDefault="005C77C4" w:rsidP="005C77C4">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5C77C4">
        <w:rPr>
          <w:rFonts w:ascii="Times New Roman" w:hAnsi="Times New Roman"/>
          <w:b/>
          <w:bCs/>
          <w:caps/>
          <w:color w:val="010000"/>
          <w:sz w:val="24"/>
          <w:szCs w:val="30"/>
          <w:lang w:eastAsia="tr-TR"/>
        </w:rPr>
        <w:t>ANAYASA MAHKEMESİ KARARI</w:t>
      </w:r>
    </w:p>
    <w:p w:rsidR="005C77C4" w:rsidRPr="005C77C4" w:rsidRDefault="005C77C4" w:rsidP="005C77C4">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5C77C4" w:rsidRDefault="005C77C4" w:rsidP="005C77C4">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Esas Sayısı:2013/72 (Siyasi Parti Mali Denetimi)</w:t>
      </w:r>
    </w:p>
    <w:p w:rsidR="005C77C4" w:rsidRDefault="005C77C4" w:rsidP="005C77C4">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Sayısı:2014/30</w:t>
      </w:r>
    </w:p>
    <w:p w:rsidR="005C77C4" w:rsidRDefault="005C77C4" w:rsidP="005C77C4">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Günü:11.2.2014</w:t>
      </w:r>
    </w:p>
    <w:p w:rsidR="005C77C4" w:rsidRDefault="005C77C4" w:rsidP="005C77C4">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R.G. Tarih-Sayı:22.04.2014-28980</w:t>
      </w:r>
    </w:p>
    <w:p w:rsidR="005C77C4" w:rsidRPr="005C77C4" w:rsidRDefault="005C77C4" w:rsidP="005C77C4">
      <w:pPr>
        <w:overflowPunct w:val="0"/>
        <w:autoSpaceDE w:val="0"/>
        <w:autoSpaceDN w:val="0"/>
        <w:spacing w:after="0" w:line="240" w:lineRule="auto"/>
        <w:rPr>
          <w:rFonts w:ascii="Times New Roman" w:hAnsi="Times New Roman"/>
          <w:b/>
          <w:color w:val="010000"/>
          <w:sz w:val="24"/>
          <w:szCs w:val="19"/>
          <w:lang w:eastAsia="tr-TR"/>
        </w:rPr>
      </w:pP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lang w:eastAsia="tr-TR"/>
        </w:rPr>
      </w:pPr>
      <w:r w:rsidRPr="005C77C4">
        <w:rPr>
          <w:rFonts w:ascii="Times New Roman" w:hAnsi="Times New Roman"/>
          <w:b/>
          <w:bCs/>
          <w:color w:val="010000"/>
          <w:sz w:val="24"/>
          <w:lang w:eastAsia="tr-TR"/>
        </w:rPr>
        <w:t>I- MALİ DENETİMİN KONUSU</w:t>
      </w:r>
      <w:r w:rsidRPr="005C77C4">
        <w:rPr>
          <w:rFonts w:ascii="Times New Roman" w:hAnsi="Times New Roman"/>
          <w:color w:val="010000"/>
          <w:sz w:val="24"/>
          <w:lang w:eastAsia="tr-TR"/>
        </w:rPr>
        <w:t xml:space="preserve"> </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Türkiye Hümanist Partisi 2012 yılı kesin hesabının incelenmesidir.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lang w:eastAsia="tr-TR"/>
        </w:rPr>
      </w:pPr>
      <w:r w:rsidRPr="005C77C4">
        <w:rPr>
          <w:rFonts w:ascii="Times New Roman" w:hAnsi="Times New Roman"/>
          <w:b/>
          <w:bCs/>
          <w:color w:val="010000"/>
          <w:sz w:val="24"/>
          <w:lang w:eastAsia="tr-TR"/>
        </w:rPr>
        <w:t xml:space="preserve">II- İLK İNCELEME </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Türkiye Hümanist Partisinin Anayasa Mahkemesine verdiği 2012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5C77C4" w:rsidRPr="005C77C4" w:rsidRDefault="005C77C4" w:rsidP="005C77C4">
      <w:pPr>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1- Genel Başkan Mustafa Kemal KARAKOÇ tarafından Anayasa Mahkemesi Başkanlığına verilen 26.8.2013 gün ve 3509-541 sayılı yazıda, Türkiye Hümanist Partisinin Genel Merkezinin 2012 yılına ait </w:t>
      </w:r>
      <w:proofErr w:type="gramStart"/>
      <w:r w:rsidRPr="005C77C4">
        <w:rPr>
          <w:rFonts w:ascii="Times New Roman" w:hAnsi="Times New Roman"/>
          <w:color w:val="010000"/>
          <w:sz w:val="24"/>
          <w:szCs w:val="19"/>
          <w:lang w:eastAsia="tr-TR"/>
        </w:rPr>
        <w:t>her hangi</w:t>
      </w:r>
      <w:proofErr w:type="gramEnd"/>
      <w:r w:rsidRPr="005C77C4">
        <w:rPr>
          <w:rFonts w:ascii="Times New Roman" w:hAnsi="Times New Roman"/>
          <w:color w:val="010000"/>
          <w:sz w:val="24"/>
          <w:szCs w:val="19"/>
          <w:lang w:eastAsia="tr-TR"/>
        </w:rPr>
        <w:t xml:space="preserve"> bir gelir ve gideri olmadığı ifade edilmiştir. </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2820 sayılı Kanun’un 74. maddesinde, “…</w:t>
      </w:r>
      <w:r w:rsidRPr="005C77C4">
        <w:rPr>
          <w:rFonts w:ascii="Times New Roman" w:hAnsi="Times New Roman"/>
          <w:i/>
          <w:iCs/>
          <w:color w:val="010000"/>
          <w:sz w:val="24"/>
          <w:szCs w:val="19"/>
          <w:lang w:eastAsia="tr-TR"/>
        </w:rPr>
        <w:t xml:space="preserve"> </w:t>
      </w:r>
      <w:r w:rsidRPr="005C77C4">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5C77C4">
        <w:rPr>
          <w:rFonts w:ascii="Times New Roman" w:hAnsi="Times New Roman"/>
          <w:i/>
          <w:iCs/>
          <w:color w:val="010000"/>
          <w:sz w:val="24"/>
          <w:szCs w:val="19"/>
          <w:lang w:eastAsia="tr-TR"/>
        </w:rPr>
        <w:t>Haziran</w:t>
      </w:r>
      <w:proofErr w:type="gramEnd"/>
      <w:r w:rsidRPr="005C77C4">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111. maddesinin birinci fıkrasının (b) bendinde ise siyasi partilerin</w:t>
      </w:r>
      <w:r w:rsidRPr="005C77C4">
        <w:rPr>
          <w:rFonts w:ascii="Times New Roman" w:hAnsi="Times New Roman"/>
          <w:i/>
          <w:iCs/>
          <w:color w:val="010000"/>
          <w:sz w:val="24"/>
          <w:szCs w:val="19"/>
          <w:lang w:eastAsia="tr-TR"/>
        </w:rPr>
        <w:t xml:space="preserve"> “</w:t>
      </w:r>
      <w:proofErr w:type="gramStart"/>
      <w:r w:rsidRPr="005C77C4">
        <w:rPr>
          <w:rFonts w:ascii="Times New Roman" w:hAnsi="Times New Roman"/>
          <w:i/>
          <w:iCs/>
          <w:color w:val="010000"/>
          <w:sz w:val="24"/>
          <w:szCs w:val="19"/>
          <w:lang w:eastAsia="tr-TR"/>
        </w:rPr>
        <w:t>74 üncü</w:t>
      </w:r>
      <w:proofErr w:type="gramEnd"/>
      <w:r w:rsidRPr="005C77C4">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5C77C4" w:rsidRPr="005C77C4" w:rsidRDefault="005C77C4" w:rsidP="005C77C4">
      <w:pPr>
        <w:spacing w:line="240" w:lineRule="auto"/>
        <w:ind w:right="283" w:firstLine="709"/>
        <w:jc w:val="both"/>
        <w:rPr>
          <w:rFonts w:ascii="Times New Roman" w:hAnsi="Times New Roman"/>
          <w:color w:val="010000"/>
          <w:sz w:val="24"/>
          <w:szCs w:val="19"/>
          <w:lang w:eastAsia="tr-TR"/>
        </w:rPr>
      </w:pPr>
      <w:proofErr w:type="gramStart"/>
      <w:r w:rsidRPr="005C77C4">
        <w:rPr>
          <w:rFonts w:ascii="Times New Roman" w:hAnsi="Times New Roman"/>
          <w:color w:val="010000"/>
          <w:sz w:val="24"/>
          <w:szCs w:val="19"/>
          <w:lang w:eastAsia="tr-TR"/>
        </w:rPr>
        <w:t>hükümleri</w:t>
      </w:r>
      <w:proofErr w:type="gramEnd"/>
      <w:r w:rsidRPr="005C77C4">
        <w:rPr>
          <w:rFonts w:ascii="Times New Roman" w:hAnsi="Times New Roman"/>
          <w:color w:val="010000"/>
          <w:sz w:val="24"/>
          <w:szCs w:val="19"/>
          <w:lang w:eastAsia="tr-TR"/>
        </w:rPr>
        <w:t xml:space="preserve"> yer almıştır. </w:t>
      </w:r>
    </w:p>
    <w:p w:rsidR="005C77C4" w:rsidRPr="005C77C4" w:rsidRDefault="005C77C4" w:rsidP="005C77C4">
      <w:pPr>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Türkiye Hümanist Partisi 2012 yılı kesin hesap cetvelinin Anayasa Mahkemesi Başkanlığına 26.8.2013 gün ve 3509-541 sayı ile verilmesi 2820 sayılı Kanun’un 74. maddesi hükümlerine aykırılık oluşturmaktadır. Buna göre, Türkiye Hümanist Partisi 2012 yılı kesin hesabının Parti Genel Başkanı tarafından </w:t>
      </w:r>
      <w:proofErr w:type="gramStart"/>
      <w:r w:rsidRPr="005C77C4">
        <w:rPr>
          <w:rFonts w:ascii="Times New Roman" w:hAnsi="Times New Roman"/>
          <w:color w:val="010000"/>
          <w:sz w:val="24"/>
          <w:szCs w:val="19"/>
          <w:lang w:eastAsia="tr-TR"/>
        </w:rPr>
        <w:t>Haziran</w:t>
      </w:r>
      <w:proofErr w:type="gramEnd"/>
      <w:r w:rsidRPr="005C77C4">
        <w:rPr>
          <w:rFonts w:ascii="Times New Roman" w:hAnsi="Times New Roman"/>
          <w:color w:val="010000"/>
          <w:sz w:val="24"/>
          <w:szCs w:val="19"/>
          <w:lang w:eastAsia="tr-TR"/>
        </w:rPr>
        <w:t xml:space="preserve"> ayı sonuna kadar Anayasa Mahkemesi Başkanlığına sunulması gerektiği yönündeki 2820 sayılı Kanun’un 74. maddesi ile getirilen kurala uyulmamıştır.</w:t>
      </w:r>
    </w:p>
    <w:p w:rsidR="005C77C4" w:rsidRPr="005C77C4" w:rsidRDefault="005C77C4" w:rsidP="005C77C4">
      <w:pPr>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Bu nedenle, 2820 sayılı Kanun’un 74. maddesi hükümlerine aykırı hareket eden Parti sorumluları hakkında yasal işlem yapılabilmesi için Ankara Cumhuriyet Başsavcılığına suç duyurusunda bulunulması gerekir.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2-</w:t>
      </w:r>
      <w:r w:rsidRPr="005C77C4">
        <w:rPr>
          <w:rFonts w:ascii="Times New Roman" w:hAnsi="Times New Roman"/>
          <w:color w:val="010000"/>
          <w:sz w:val="24"/>
          <w:szCs w:val="19"/>
          <w:lang w:eastAsia="tr-TR"/>
        </w:rPr>
        <w:t xml:space="preserve"> </w:t>
      </w:r>
      <w:r w:rsidRPr="005C77C4">
        <w:rPr>
          <w:rFonts w:ascii="Times New Roman" w:hAnsi="Times New Roman"/>
          <w:color w:val="010000"/>
          <w:sz w:val="24"/>
          <w:szCs w:val="19"/>
          <w:lang w:eastAsia="tr-TR"/>
        </w:rPr>
        <w:t xml:space="preserve">Türkiye Hümanist Partisi Genel Başkanı Mustafa Kemal KARAKOÇ tarafından Anayasa Mahkemesi Başkanlığına verilen 26.8.2013 gün ve 3509-541 sayılı yazıda, Türkiye Hümanist Partisinin sadece Genel Merkez olarak teşkilatlandığı ve 2012 yılında Genel Merkeze ilişkin her hangi bir gelir ve giderin olmadığı ifade edilerek Genel Merkeze ait kesin hesap cetvelleri ve </w:t>
      </w:r>
      <w:r w:rsidRPr="005C77C4">
        <w:rPr>
          <w:rFonts w:ascii="Times New Roman" w:hAnsi="Times New Roman"/>
          <w:color w:val="010000"/>
          <w:sz w:val="24"/>
          <w:szCs w:val="19"/>
          <w:lang w:eastAsia="tr-TR"/>
        </w:rPr>
        <w:lastRenderedPageBreak/>
        <w:t xml:space="preserve">Partinin 2012 yılında edindiği taşınmaz ve değeri 100 TL’yi aşan taşınır malların, menkul kıymetlerin ve her türlü hakların değerleri ile edinim tarihlerini ve şekillerini de belirten listeler gönderilmemiştir. </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2820 sayılı Kanun’un 74. maddesinde, “</w:t>
      </w:r>
      <w:r w:rsidRPr="005C77C4">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5C77C4" w:rsidRPr="005C77C4" w:rsidRDefault="005C77C4" w:rsidP="005C77C4">
      <w:pPr>
        <w:autoSpaceDE w:val="0"/>
        <w:autoSpaceDN w:val="0"/>
        <w:spacing w:line="240" w:lineRule="auto"/>
        <w:ind w:right="283" w:firstLine="709"/>
        <w:jc w:val="both"/>
        <w:rPr>
          <w:rFonts w:ascii="Times New Roman" w:hAnsi="Times New Roman"/>
          <w:i/>
          <w:iCs/>
          <w:color w:val="010000"/>
          <w:sz w:val="24"/>
          <w:szCs w:val="19"/>
          <w:lang w:eastAsia="tr-TR"/>
        </w:rPr>
      </w:pPr>
      <w:r w:rsidRPr="005C77C4">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5C77C4">
        <w:rPr>
          <w:rFonts w:ascii="Times New Roman" w:hAnsi="Times New Roman"/>
          <w:i/>
          <w:iCs/>
          <w:color w:val="010000"/>
          <w:sz w:val="24"/>
          <w:szCs w:val="19"/>
          <w:lang w:eastAsia="tr-TR"/>
        </w:rPr>
        <w:t>Haziran</w:t>
      </w:r>
      <w:proofErr w:type="gramEnd"/>
      <w:r w:rsidRPr="005C77C4">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111. maddesinin birinci fıkrasının (b) bendinde ise siyasi partilerin</w:t>
      </w:r>
      <w:r w:rsidRPr="005C77C4">
        <w:rPr>
          <w:rFonts w:ascii="Times New Roman" w:hAnsi="Times New Roman"/>
          <w:i/>
          <w:iCs/>
          <w:color w:val="010000"/>
          <w:sz w:val="24"/>
          <w:szCs w:val="19"/>
          <w:lang w:eastAsia="tr-TR"/>
        </w:rPr>
        <w:t xml:space="preserve"> “</w:t>
      </w:r>
      <w:proofErr w:type="gramStart"/>
      <w:r w:rsidRPr="005C77C4">
        <w:rPr>
          <w:rFonts w:ascii="Times New Roman" w:hAnsi="Times New Roman"/>
          <w:i/>
          <w:iCs/>
          <w:color w:val="010000"/>
          <w:sz w:val="24"/>
          <w:szCs w:val="19"/>
          <w:lang w:eastAsia="tr-TR"/>
        </w:rPr>
        <w:t>74 üncü</w:t>
      </w:r>
      <w:proofErr w:type="gramEnd"/>
      <w:r w:rsidRPr="005C77C4">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5C77C4" w:rsidRPr="005C77C4" w:rsidRDefault="005C77C4" w:rsidP="005C77C4">
      <w:pPr>
        <w:spacing w:line="240" w:lineRule="auto"/>
        <w:ind w:right="283" w:firstLine="709"/>
        <w:jc w:val="both"/>
        <w:rPr>
          <w:rFonts w:ascii="Times New Roman" w:hAnsi="Times New Roman"/>
          <w:color w:val="010000"/>
          <w:sz w:val="24"/>
          <w:szCs w:val="19"/>
          <w:lang w:eastAsia="tr-TR"/>
        </w:rPr>
      </w:pPr>
      <w:proofErr w:type="gramStart"/>
      <w:r w:rsidRPr="005C77C4">
        <w:rPr>
          <w:rFonts w:ascii="Times New Roman" w:hAnsi="Times New Roman"/>
          <w:color w:val="010000"/>
          <w:sz w:val="24"/>
          <w:szCs w:val="19"/>
          <w:lang w:eastAsia="tr-TR"/>
        </w:rPr>
        <w:t>hükümleri</w:t>
      </w:r>
      <w:proofErr w:type="gramEnd"/>
      <w:r w:rsidRPr="005C77C4">
        <w:rPr>
          <w:rFonts w:ascii="Times New Roman" w:hAnsi="Times New Roman"/>
          <w:color w:val="010000"/>
          <w:sz w:val="24"/>
          <w:szCs w:val="19"/>
          <w:lang w:eastAsia="tr-TR"/>
        </w:rPr>
        <w:t xml:space="preserve"> yer almıştır. </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Herhangi bir gelir ve gideri olmadığı gerekçesiyle Genel Merkeze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3- Parti Genel Merkezine ait gelir ve giderin olmadığı belirtilmiştir.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Parti sadece Genel Merkez olarak teşkilatlanmış olup il ve ilçe örgütü bulunmamaktadır.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Parti yetkililerinin sundukları kesin hesapta, Genel Merkez teşkilatına ilişkin </w:t>
      </w:r>
      <w:proofErr w:type="gramStart"/>
      <w:r w:rsidRPr="005C77C4">
        <w:rPr>
          <w:rFonts w:ascii="Times New Roman" w:hAnsi="Times New Roman"/>
          <w:color w:val="010000"/>
          <w:sz w:val="24"/>
          <w:szCs w:val="19"/>
          <w:lang w:eastAsia="tr-TR"/>
        </w:rPr>
        <w:t>her hangi</w:t>
      </w:r>
      <w:proofErr w:type="gramEnd"/>
      <w:r w:rsidRPr="005C77C4">
        <w:rPr>
          <w:rFonts w:ascii="Times New Roman" w:hAnsi="Times New Roman"/>
          <w:color w:val="010000"/>
          <w:sz w:val="24"/>
          <w:szCs w:val="19"/>
          <w:lang w:eastAsia="tr-TR"/>
        </w:rPr>
        <w:t xml:space="preserve"> bir gelir ve gider belirtilmemiştir. Parti Genel Merkezi faaliyette olduğuna göre, bu teşkilata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 </w:t>
      </w:r>
      <w:r w:rsidRPr="005C77C4">
        <w:rPr>
          <w:rFonts w:ascii="Times New Roman" w:hAnsi="Times New Roman"/>
          <w:color w:val="010000"/>
          <w:sz w:val="24"/>
          <w:szCs w:val="19"/>
          <w:lang w:eastAsia="tr-TR"/>
        </w:rPr>
        <w:t>Diğer taraftan, gelir ve gideri olmadığı beyan edilerek herhangi bir bilgi ve belge ibraz edilmeyen Parti Genel Merkez kesin hesabının denetimi gerçekleştirilemediğinden, Partinin 2012 yılı hesabının 2820 sayılı Kanun uyarınca kabul edilmesinin mümkün olmadığına karar vermek gerekmiştir.</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lang w:eastAsia="tr-TR"/>
        </w:rPr>
      </w:pPr>
      <w:r w:rsidRPr="005C77C4">
        <w:rPr>
          <w:rFonts w:ascii="Times New Roman" w:hAnsi="Times New Roman"/>
          <w:b/>
          <w:bCs/>
          <w:color w:val="010000"/>
          <w:sz w:val="24"/>
          <w:lang w:eastAsia="tr-TR"/>
        </w:rPr>
        <w:lastRenderedPageBreak/>
        <w:t>III-</w:t>
      </w:r>
      <w:r w:rsidRPr="005C77C4">
        <w:rPr>
          <w:rFonts w:ascii="Times New Roman" w:hAnsi="Times New Roman"/>
          <w:color w:val="010000"/>
          <w:sz w:val="24"/>
          <w:lang w:eastAsia="tr-TR"/>
        </w:rPr>
        <w:t xml:space="preserve"> </w:t>
      </w:r>
      <w:r w:rsidRPr="005C77C4">
        <w:rPr>
          <w:rFonts w:ascii="Times New Roman" w:hAnsi="Times New Roman"/>
          <w:b/>
          <w:bCs/>
          <w:color w:val="010000"/>
          <w:sz w:val="24"/>
          <w:lang w:eastAsia="tr-TR"/>
        </w:rPr>
        <w:t>SONUÇ</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Türkiye Hümanist Partisinin 2012 yılı kesin hesabının incelenmesi sonucunda;</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1- Partinin 2012 yılı kesin hesabını 2820 sayılı Siyasi Partiler Kanunu’nun 74. maddesinde öngörülen sürede Anayasa Mahkemesine vermeyen Parti sorumluları hakkında aynı Kanun’un 111. maddesinin birinci fıkrasının (b) bendi uyarınca yasal işlem yapılması için Ankara Cumhuriyet Başsavcılığına suç duyurusunda bulunulmasına,</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2- Genel Merkeze ait 2012 yılı kesin hesabının ve Partinin 2012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5C77C4" w:rsidRPr="005C77C4" w:rsidRDefault="005C77C4" w:rsidP="005C77C4">
      <w:pPr>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5C77C4" w:rsidRPr="005C77C4" w:rsidRDefault="005C77C4" w:rsidP="005C77C4">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5C77C4">
        <w:rPr>
          <w:rFonts w:ascii="Times New Roman" w:hAnsi="Times New Roman"/>
          <w:color w:val="010000"/>
          <w:sz w:val="24"/>
          <w:szCs w:val="19"/>
          <w:lang w:eastAsia="tr-TR"/>
        </w:rPr>
        <w:t>4- Gelir ve gideri olmadığı beyan edilerek herhangi bir bilgi ve belge ibraz edilmeyen Parti Genel Merkez kesin hesabının denetimi gerçekleştirilemediğinden, Partinin 2012 yılı hesabının 2820 sayılı Kanun uyarınca kabul edilmesinin mümkün olmadığına,</w:t>
      </w:r>
    </w:p>
    <w:p w:rsidR="005C77C4" w:rsidRDefault="005C77C4" w:rsidP="005C77C4">
      <w:pPr>
        <w:overflowPunct w:val="0"/>
        <w:autoSpaceDE w:val="0"/>
        <w:autoSpaceDN w:val="0"/>
        <w:spacing w:line="240" w:lineRule="auto"/>
        <w:ind w:right="283" w:firstLine="709"/>
        <w:jc w:val="both"/>
      </w:pPr>
      <w:r w:rsidRPr="005C77C4">
        <w:rPr>
          <w:rFonts w:ascii="Times New Roman" w:hAnsi="Times New Roman"/>
          <w:color w:val="010000"/>
          <w:sz w:val="24"/>
          <w:szCs w:val="19"/>
          <w:lang w:eastAsia="tr-TR"/>
        </w:rPr>
        <w:t>11.2.2014 gününde OYBİRLİĞİYLE karar verildi.</w:t>
      </w:r>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262"/>
        <w:gridCol w:w="3261"/>
        <w:gridCol w:w="3257"/>
      </w:tblGrid>
      <w:tr w:rsidR="005C77C4" w:rsidRPr="005C77C4" w:rsidTr="005C77C4">
        <w:trPr>
          <w:jc w:val="center"/>
        </w:trPr>
        <w:tc>
          <w:tcPr>
            <w:tcW w:w="1668"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Başkan</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Haşim KILIÇ</w:t>
            </w:r>
          </w:p>
        </w:tc>
        <w:tc>
          <w:tcPr>
            <w:tcW w:w="1667"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Başkanvekili</w:t>
            </w:r>
          </w:p>
          <w:p w:rsidR="005C77C4" w:rsidRPr="005C77C4" w:rsidRDefault="005C77C4" w:rsidP="005C77C4">
            <w:pPr>
              <w:spacing w:before="240" w:after="240" w:line="240" w:lineRule="auto"/>
              <w:jc w:val="center"/>
              <w:rPr>
                <w:rFonts w:ascii="Times New Roman" w:hAnsi="Times New Roman"/>
                <w:color w:val="010000"/>
                <w:sz w:val="24"/>
                <w:szCs w:val="19"/>
              </w:rPr>
            </w:pPr>
            <w:proofErr w:type="spellStart"/>
            <w:r w:rsidRPr="005C77C4">
              <w:rPr>
                <w:rFonts w:ascii="Times New Roman" w:hAnsi="Times New Roman"/>
                <w:color w:val="010000"/>
                <w:sz w:val="24"/>
                <w:szCs w:val="19"/>
              </w:rPr>
              <w:t>Serruh</w:t>
            </w:r>
            <w:proofErr w:type="spellEnd"/>
            <w:r w:rsidRPr="005C77C4">
              <w:rPr>
                <w:rFonts w:ascii="Times New Roman" w:hAnsi="Times New Roman"/>
                <w:color w:val="010000"/>
                <w:sz w:val="24"/>
                <w:szCs w:val="19"/>
              </w:rPr>
              <w:t xml:space="preserve"> KALELİ</w:t>
            </w:r>
          </w:p>
        </w:tc>
        <w:tc>
          <w:tcPr>
            <w:tcW w:w="1665"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Başkanvekili</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Alparslan ALTAN</w:t>
            </w:r>
          </w:p>
        </w:tc>
      </w:tr>
      <w:tr w:rsidR="005C77C4" w:rsidRPr="005C77C4" w:rsidTr="005C77C4">
        <w:tblPrEx>
          <w:tblCellMar>
            <w:left w:w="108" w:type="dxa"/>
            <w:right w:w="108" w:type="dxa"/>
          </w:tblCellMar>
          <w:tblLook w:val="01E0" w:firstRow="1" w:lastRow="1" w:firstColumn="1" w:lastColumn="1" w:noHBand="0" w:noVBand="0"/>
        </w:tblPrEx>
        <w:trPr>
          <w:jc w:val="center"/>
        </w:trPr>
        <w:tc>
          <w:tcPr>
            <w:tcW w:w="1668" w:type="pct"/>
          </w:tcPr>
          <w:p w:rsidR="005C77C4" w:rsidRPr="005C77C4" w:rsidRDefault="005C77C4" w:rsidP="005C77C4">
            <w:pPr>
              <w:overflowPunct w:val="0"/>
              <w:autoSpaceDE w:val="0"/>
              <w:autoSpaceDN w:val="0"/>
              <w:adjustRightInd w:val="0"/>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overflowPunct w:val="0"/>
              <w:autoSpaceDE w:val="0"/>
              <w:autoSpaceDN w:val="0"/>
              <w:adjustRightInd w:val="0"/>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Serdar ÖZGÜLDÜR</w:t>
            </w:r>
          </w:p>
        </w:tc>
        <w:tc>
          <w:tcPr>
            <w:tcW w:w="1667" w:type="pct"/>
          </w:tcPr>
          <w:p w:rsidR="005C77C4" w:rsidRPr="005C77C4" w:rsidRDefault="005C77C4" w:rsidP="005C77C4">
            <w:pPr>
              <w:overflowPunct w:val="0"/>
              <w:autoSpaceDE w:val="0"/>
              <w:autoSpaceDN w:val="0"/>
              <w:adjustRightInd w:val="0"/>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overflowPunct w:val="0"/>
              <w:autoSpaceDE w:val="0"/>
              <w:autoSpaceDN w:val="0"/>
              <w:adjustRightInd w:val="0"/>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 xml:space="preserve">Osman </w:t>
            </w:r>
            <w:proofErr w:type="spellStart"/>
            <w:r w:rsidRPr="005C77C4">
              <w:rPr>
                <w:rFonts w:ascii="Times New Roman" w:hAnsi="Times New Roman"/>
                <w:color w:val="010000"/>
                <w:sz w:val="24"/>
                <w:szCs w:val="19"/>
              </w:rPr>
              <w:t>Alifeyyaz</w:t>
            </w:r>
            <w:proofErr w:type="spellEnd"/>
            <w:r w:rsidRPr="005C77C4">
              <w:rPr>
                <w:rFonts w:ascii="Times New Roman" w:hAnsi="Times New Roman"/>
                <w:color w:val="010000"/>
                <w:sz w:val="24"/>
                <w:szCs w:val="19"/>
              </w:rPr>
              <w:t xml:space="preserve"> PAKSÜT</w:t>
            </w:r>
          </w:p>
        </w:tc>
        <w:tc>
          <w:tcPr>
            <w:tcW w:w="1665" w:type="pct"/>
          </w:tcPr>
          <w:p w:rsidR="005C77C4" w:rsidRPr="005C77C4" w:rsidRDefault="005C77C4" w:rsidP="005C77C4">
            <w:pPr>
              <w:overflowPunct w:val="0"/>
              <w:autoSpaceDE w:val="0"/>
              <w:autoSpaceDN w:val="0"/>
              <w:adjustRightInd w:val="0"/>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overflowPunct w:val="0"/>
              <w:autoSpaceDE w:val="0"/>
              <w:autoSpaceDN w:val="0"/>
              <w:adjustRightInd w:val="0"/>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Zehra Ayla PERKTAŞ</w:t>
            </w:r>
          </w:p>
        </w:tc>
      </w:tr>
      <w:tr w:rsidR="005C77C4" w:rsidRPr="005C77C4" w:rsidTr="005C77C4">
        <w:trPr>
          <w:jc w:val="center"/>
        </w:trPr>
        <w:tc>
          <w:tcPr>
            <w:tcW w:w="1668"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Recep KÖMÜRCÜ</w:t>
            </w:r>
          </w:p>
        </w:tc>
        <w:tc>
          <w:tcPr>
            <w:tcW w:w="1667"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Burhan ÜSTÜN</w:t>
            </w:r>
          </w:p>
        </w:tc>
        <w:tc>
          <w:tcPr>
            <w:tcW w:w="1665"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Engin YILDIRIM</w:t>
            </w:r>
          </w:p>
        </w:tc>
      </w:tr>
      <w:tr w:rsidR="005C77C4" w:rsidRPr="005C77C4" w:rsidTr="005C77C4">
        <w:trPr>
          <w:jc w:val="center"/>
        </w:trPr>
        <w:tc>
          <w:tcPr>
            <w:tcW w:w="1668"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Nuri NECİPOĞLU</w:t>
            </w:r>
          </w:p>
        </w:tc>
        <w:tc>
          <w:tcPr>
            <w:tcW w:w="1667"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Celal Mümtaz AKINCI</w:t>
            </w:r>
          </w:p>
        </w:tc>
        <w:tc>
          <w:tcPr>
            <w:tcW w:w="1665"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Erdal TERCAN</w:t>
            </w:r>
          </w:p>
        </w:tc>
      </w:tr>
      <w:tr w:rsidR="005C77C4" w:rsidRPr="005C77C4" w:rsidTr="005C77C4">
        <w:trPr>
          <w:jc w:val="center"/>
        </w:trPr>
        <w:tc>
          <w:tcPr>
            <w:tcW w:w="1668"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Muammer TOPAL</w:t>
            </w:r>
          </w:p>
        </w:tc>
        <w:tc>
          <w:tcPr>
            <w:tcW w:w="1667"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Zühtü ARSLAN</w:t>
            </w:r>
          </w:p>
        </w:tc>
        <w:tc>
          <w:tcPr>
            <w:tcW w:w="1665" w:type="pct"/>
          </w:tcPr>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Üye</w:t>
            </w:r>
          </w:p>
          <w:p w:rsidR="005C77C4" w:rsidRPr="005C77C4" w:rsidRDefault="005C77C4" w:rsidP="005C77C4">
            <w:pPr>
              <w:spacing w:before="240" w:after="240" w:line="240" w:lineRule="auto"/>
              <w:jc w:val="center"/>
              <w:rPr>
                <w:rFonts w:ascii="Times New Roman" w:hAnsi="Times New Roman"/>
                <w:color w:val="010000"/>
                <w:sz w:val="24"/>
                <w:szCs w:val="19"/>
              </w:rPr>
            </w:pPr>
            <w:r w:rsidRPr="005C77C4">
              <w:rPr>
                <w:rFonts w:ascii="Times New Roman" w:hAnsi="Times New Roman"/>
                <w:color w:val="010000"/>
                <w:sz w:val="24"/>
                <w:szCs w:val="19"/>
              </w:rPr>
              <w:t>M. Emin KUZ</w:t>
            </w:r>
          </w:p>
        </w:tc>
      </w:tr>
    </w:tbl>
    <w:p w:rsidR="005C77C4" w:rsidRPr="005C77C4" w:rsidRDefault="005C77C4" w:rsidP="005C77C4">
      <w:pPr>
        <w:spacing w:line="240" w:lineRule="auto"/>
        <w:ind w:right="283" w:firstLine="709"/>
        <w:jc w:val="both"/>
        <w:rPr>
          <w:rFonts w:ascii="Times New Roman" w:hAnsi="Times New Roman"/>
          <w:color w:val="010000"/>
          <w:sz w:val="24"/>
        </w:rPr>
      </w:pPr>
    </w:p>
    <w:sectPr w:rsidR="005C77C4" w:rsidRPr="005C77C4" w:rsidSect="005C77C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CCD" w:rsidRDefault="00823CCD" w:rsidP="005C77C4">
      <w:pPr>
        <w:spacing w:after="0" w:line="240" w:lineRule="auto"/>
      </w:pPr>
      <w:r>
        <w:separator/>
      </w:r>
    </w:p>
  </w:endnote>
  <w:endnote w:type="continuationSeparator" w:id="0">
    <w:p w:rsidR="00823CCD" w:rsidRDefault="00823CCD" w:rsidP="005C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E51" w:rsidRDefault="00823CCD" w:rsidP="005C77C4">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A4E51" w:rsidRDefault="00823CCD" w:rsidP="005C77C4">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E51" w:rsidRPr="005C77C4" w:rsidRDefault="00823CCD" w:rsidP="005C77C4">
    <w:pPr>
      <w:pStyle w:val="a"/>
      <w:framePr w:wrap="around" w:vAnchor="text" w:hAnchor="margin" w:xAlign="right" w:y="1"/>
      <w:rPr>
        <w:rStyle w:val="SayfaNumaras"/>
        <w:rFonts w:ascii="Times New Roman" w:hAnsi="Times New Roman"/>
        <w:sz w:val="24"/>
      </w:rPr>
    </w:pPr>
    <w:r w:rsidRPr="005C77C4">
      <w:rPr>
        <w:rStyle w:val="SayfaNumaras"/>
        <w:rFonts w:ascii="Times New Roman" w:hAnsi="Times New Roman"/>
        <w:sz w:val="24"/>
      </w:rPr>
      <w:fldChar w:fldCharType="begin"/>
    </w:r>
    <w:r w:rsidRPr="005C77C4">
      <w:rPr>
        <w:rStyle w:val="SayfaNumaras"/>
        <w:rFonts w:ascii="Times New Roman" w:hAnsi="Times New Roman"/>
        <w:sz w:val="24"/>
      </w:rPr>
      <w:instrText xml:space="preserve">PAGE  </w:instrText>
    </w:r>
    <w:r w:rsidRPr="005C77C4">
      <w:rPr>
        <w:rStyle w:val="SayfaNumaras"/>
        <w:rFonts w:ascii="Times New Roman" w:hAnsi="Times New Roman"/>
        <w:sz w:val="24"/>
      </w:rPr>
      <w:fldChar w:fldCharType="separate"/>
    </w:r>
    <w:r w:rsidRPr="005C77C4">
      <w:rPr>
        <w:rStyle w:val="SayfaNumaras"/>
        <w:rFonts w:ascii="Times New Roman" w:hAnsi="Times New Roman"/>
        <w:noProof/>
        <w:sz w:val="24"/>
      </w:rPr>
      <w:t>4</w:t>
    </w:r>
    <w:r w:rsidRPr="005C77C4">
      <w:rPr>
        <w:rStyle w:val="SayfaNumaras"/>
        <w:rFonts w:ascii="Times New Roman" w:hAnsi="Times New Roman"/>
        <w:sz w:val="24"/>
      </w:rPr>
      <w:fldChar w:fldCharType="end"/>
    </w:r>
  </w:p>
  <w:p w:rsidR="00DA4E51" w:rsidRDefault="00823CCD" w:rsidP="005C77C4">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CCD" w:rsidRDefault="00823CCD" w:rsidP="005C77C4">
      <w:pPr>
        <w:spacing w:after="0" w:line="240" w:lineRule="auto"/>
      </w:pPr>
      <w:r>
        <w:separator/>
      </w:r>
    </w:p>
  </w:footnote>
  <w:footnote w:type="continuationSeparator" w:id="0">
    <w:p w:rsidR="00823CCD" w:rsidRDefault="00823CCD" w:rsidP="005C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C4" w:rsidRPr="005C77C4" w:rsidRDefault="005C77C4" w:rsidP="005C77C4">
    <w:pPr>
      <w:pStyle w:val="stBilgi"/>
      <w:rPr>
        <w:rFonts w:ascii="Times New Roman" w:hAnsi="Times New Roman"/>
        <w:b/>
        <w:sz w:val="24"/>
      </w:rPr>
    </w:pPr>
    <w:r w:rsidRPr="005C77C4">
      <w:rPr>
        <w:rFonts w:ascii="Times New Roman" w:hAnsi="Times New Roman"/>
        <w:b/>
        <w:sz w:val="24"/>
      </w:rPr>
      <w:t>Esas Sayısı:2013/72 (Siyasi Parti Mali Denetimi)</w:t>
    </w:r>
  </w:p>
  <w:p w:rsidR="005C77C4" w:rsidRDefault="005C77C4" w:rsidP="005C77C4">
    <w:pPr>
      <w:pStyle w:val="stBilgi"/>
      <w:rPr>
        <w:rFonts w:ascii="Times New Roman" w:hAnsi="Times New Roman"/>
        <w:b/>
        <w:sz w:val="24"/>
      </w:rPr>
    </w:pPr>
    <w:r>
      <w:rPr>
        <w:rFonts w:ascii="Times New Roman" w:hAnsi="Times New Roman"/>
        <w:b/>
        <w:sz w:val="24"/>
      </w:rPr>
      <w:t>Karar Sayısı:2014/30</w:t>
    </w:r>
  </w:p>
  <w:p w:rsidR="00DA4E51" w:rsidRPr="005C77C4" w:rsidRDefault="00823CCD" w:rsidP="005C77C4">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C4"/>
    <w:rsid w:val="005C77C4"/>
    <w:rsid w:val="00823CC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7A445-4D32-4022-B566-E644EBAA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7C4"/>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5C77C4"/>
    <w:pPr>
      <w:tabs>
        <w:tab w:val="center" w:pos="4536"/>
        <w:tab w:val="right" w:pos="9072"/>
      </w:tabs>
    </w:pPr>
  </w:style>
  <w:style w:type="character" w:styleId="SayfaNumaras">
    <w:name w:val="page number"/>
    <w:basedOn w:val="VarsaylanParagrafYazTipi"/>
    <w:rsid w:val="005C77C4"/>
  </w:style>
  <w:style w:type="paragraph" w:styleId="stBilgi">
    <w:name w:val="header"/>
    <w:basedOn w:val="Normal"/>
    <w:link w:val="stBilgiChar"/>
    <w:uiPriority w:val="99"/>
    <w:unhideWhenUsed/>
    <w:rsid w:val="005C77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77C4"/>
    <w:rPr>
      <w:rFonts w:ascii="Calibri" w:eastAsia="Times New Roman" w:hAnsi="Calibri" w:cs="Times New Roman"/>
    </w:rPr>
  </w:style>
  <w:style w:type="paragraph" w:styleId="AltBilgi">
    <w:name w:val="footer"/>
    <w:basedOn w:val="Normal"/>
    <w:link w:val="AltBilgiChar"/>
    <w:uiPriority w:val="99"/>
    <w:unhideWhenUsed/>
    <w:rsid w:val="005C77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77C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2020-06-15T09:22:00Z</dcterms:created>
  <dcterms:modified xsi:type="dcterms:W3CDTF">2020-06-15T09:23:00Z</dcterms:modified>
</cp:coreProperties>
</file>