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ABF" w:rsidRDefault="00C60ABF" w:rsidP="00C60ABF">
      <w:pPr>
        <w:overflowPunct w:val="0"/>
        <w:autoSpaceDE w:val="0"/>
        <w:autoSpaceDN w:val="0"/>
        <w:spacing w:line="240" w:lineRule="auto"/>
        <w:ind w:right="283"/>
        <w:jc w:val="center"/>
        <w:rPr>
          <w:rFonts w:ascii="Times New Roman" w:hAnsi="Times New Roman"/>
          <w:b/>
          <w:bCs/>
          <w:caps/>
          <w:color w:val="010000"/>
          <w:sz w:val="24"/>
          <w:szCs w:val="30"/>
          <w:lang w:eastAsia="tr-TR"/>
        </w:rPr>
      </w:pPr>
      <w:r w:rsidRPr="00C60ABF">
        <w:rPr>
          <w:rFonts w:ascii="Times New Roman" w:hAnsi="Times New Roman"/>
          <w:b/>
          <w:bCs/>
          <w:caps/>
          <w:color w:val="010000"/>
          <w:sz w:val="24"/>
          <w:szCs w:val="30"/>
          <w:lang w:eastAsia="tr-TR"/>
        </w:rPr>
        <w:t>ANAYASA MAHKEMESİ KARARI</w:t>
      </w:r>
    </w:p>
    <w:p w:rsidR="00C60ABF" w:rsidRPr="00C60ABF" w:rsidRDefault="00C60ABF" w:rsidP="00C60ABF">
      <w:pPr>
        <w:overflowPunct w:val="0"/>
        <w:autoSpaceDE w:val="0"/>
        <w:autoSpaceDN w:val="0"/>
        <w:spacing w:line="240" w:lineRule="auto"/>
        <w:ind w:right="283" w:firstLine="709"/>
        <w:jc w:val="center"/>
        <w:rPr>
          <w:rFonts w:ascii="Times New Roman" w:hAnsi="Times New Roman"/>
          <w:b/>
          <w:caps/>
          <w:color w:val="010000"/>
          <w:sz w:val="24"/>
          <w:szCs w:val="30"/>
          <w:lang w:eastAsia="tr-TR"/>
        </w:rPr>
      </w:pPr>
    </w:p>
    <w:p w:rsidR="00C60ABF" w:rsidRDefault="00C60ABF" w:rsidP="00C60ABF">
      <w:pPr>
        <w:overflowPunct w:val="0"/>
        <w:autoSpaceDE w:val="0"/>
        <w:autoSpaceDN w:val="0"/>
        <w:spacing w:after="0" w:line="240" w:lineRule="auto"/>
        <w:rPr>
          <w:rFonts w:ascii="Times New Roman" w:hAnsi="Times New Roman"/>
          <w:b/>
          <w:bCs/>
          <w:color w:val="010000"/>
          <w:sz w:val="24"/>
          <w:szCs w:val="19"/>
          <w:lang w:eastAsia="tr-TR"/>
        </w:rPr>
      </w:pPr>
      <w:r>
        <w:rPr>
          <w:rFonts w:ascii="Times New Roman" w:hAnsi="Times New Roman"/>
          <w:b/>
          <w:bCs/>
          <w:color w:val="010000"/>
          <w:sz w:val="24"/>
          <w:szCs w:val="19"/>
          <w:lang w:eastAsia="tr-TR"/>
        </w:rPr>
        <w:t>Esas Sayısı:2013/15 (Siyasi Parti Mali Denetimi)</w:t>
      </w:r>
    </w:p>
    <w:p w:rsidR="00C60ABF" w:rsidRDefault="00C60ABF" w:rsidP="00C60ABF">
      <w:pPr>
        <w:overflowPunct w:val="0"/>
        <w:autoSpaceDE w:val="0"/>
        <w:autoSpaceDN w:val="0"/>
        <w:spacing w:after="0" w:line="240" w:lineRule="auto"/>
        <w:rPr>
          <w:rFonts w:ascii="Times New Roman" w:hAnsi="Times New Roman"/>
          <w:b/>
          <w:bCs/>
          <w:color w:val="010000"/>
          <w:sz w:val="24"/>
          <w:szCs w:val="19"/>
          <w:lang w:eastAsia="tr-TR"/>
        </w:rPr>
      </w:pPr>
      <w:r>
        <w:rPr>
          <w:rFonts w:ascii="Times New Roman" w:hAnsi="Times New Roman"/>
          <w:b/>
          <w:bCs/>
          <w:color w:val="010000"/>
          <w:sz w:val="24"/>
          <w:szCs w:val="19"/>
          <w:lang w:eastAsia="tr-TR"/>
        </w:rPr>
        <w:t>Karar Sayısı:2014/24</w:t>
      </w:r>
    </w:p>
    <w:p w:rsidR="00C60ABF" w:rsidRDefault="00C60ABF" w:rsidP="00C60ABF">
      <w:pPr>
        <w:overflowPunct w:val="0"/>
        <w:autoSpaceDE w:val="0"/>
        <w:autoSpaceDN w:val="0"/>
        <w:spacing w:after="0" w:line="240" w:lineRule="auto"/>
        <w:rPr>
          <w:rFonts w:ascii="Times New Roman" w:hAnsi="Times New Roman"/>
          <w:b/>
          <w:bCs/>
          <w:color w:val="010000"/>
          <w:sz w:val="24"/>
          <w:szCs w:val="19"/>
          <w:lang w:eastAsia="tr-TR"/>
        </w:rPr>
      </w:pPr>
      <w:r>
        <w:rPr>
          <w:rFonts w:ascii="Times New Roman" w:hAnsi="Times New Roman"/>
          <w:b/>
          <w:bCs/>
          <w:color w:val="010000"/>
          <w:sz w:val="24"/>
          <w:szCs w:val="19"/>
          <w:lang w:eastAsia="tr-TR"/>
        </w:rPr>
        <w:t>Karar Günü:11.2.2014</w:t>
      </w:r>
    </w:p>
    <w:p w:rsidR="00C60ABF" w:rsidRDefault="00C60ABF" w:rsidP="00C60ABF">
      <w:pPr>
        <w:overflowPunct w:val="0"/>
        <w:autoSpaceDE w:val="0"/>
        <w:autoSpaceDN w:val="0"/>
        <w:spacing w:after="0" w:line="240" w:lineRule="auto"/>
        <w:rPr>
          <w:rFonts w:ascii="Times New Roman" w:hAnsi="Times New Roman"/>
          <w:b/>
          <w:bCs/>
          <w:color w:val="010000"/>
          <w:sz w:val="24"/>
          <w:szCs w:val="19"/>
          <w:lang w:eastAsia="tr-TR"/>
        </w:rPr>
      </w:pPr>
      <w:r>
        <w:rPr>
          <w:rFonts w:ascii="Times New Roman" w:hAnsi="Times New Roman"/>
          <w:b/>
          <w:bCs/>
          <w:color w:val="010000"/>
          <w:sz w:val="24"/>
          <w:szCs w:val="19"/>
          <w:lang w:eastAsia="tr-TR"/>
        </w:rPr>
        <w:t>R.G. Tarih-Sayı:22.04.2014-28980</w:t>
      </w:r>
    </w:p>
    <w:p w:rsidR="00C60ABF" w:rsidRPr="00C60ABF" w:rsidRDefault="00C60ABF" w:rsidP="00C60ABF">
      <w:pPr>
        <w:overflowPunct w:val="0"/>
        <w:autoSpaceDE w:val="0"/>
        <w:autoSpaceDN w:val="0"/>
        <w:spacing w:after="0" w:line="240" w:lineRule="auto"/>
        <w:rPr>
          <w:rFonts w:ascii="Times New Roman" w:hAnsi="Times New Roman"/>
          <w:b/>
          <w:bCs/>
          <w:color w:val="010000"/>
          <w:sz w:val="24"/>
          <w:szCs w:val="19"/>
          <w:lang w:eastAsia="tr-TR"/>
        </w:rPr>
      </w:pP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lang w:eastAsia="tr-TR"/>
        </w:rPr>
      </w:pPr>
      <w:r w:rsidRPr="00C60ABF">
        <w:rPr>
          <w:rFonts w:ascii="Times New Roman" w:hAnsi="Times New Roman"/>
          <w:b/>
          <w:bCs/>
          <w:color w:val="010000"/>
          <w:sz w:val="24"/>
          <w:lang w:eastAsia="tr-TR"/>
        </w:rPr>
        <w:t>I- MALİ DENETİMİN KONUSU</w:t>
      </w:r>
      <w:r w:rsidRPr="00C60ABF">
        <w:rPr>
          <w:rFonts w:ascii="Times New Roman" w:hAnsi="Times New Roman"/>
          <w:color w:val="010000"/>
          <w:sz w:val="24"/>
          <w:lang w:eastAsia="tr-TR"/>
        </w:rPr>
        <w:t xml:space="preserve"> </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Büyük Anavatan Partisi 2012 yılı kesin hesabının incelenmesidir.</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lang w:eastAsia="tr-TR"/>
        </w:rPr>
      </w:pPr>
      <w:r w:rsidRPr="00C60ABF">
        <w:rPr>
          <w:rFonts w:ascii="Times New Roman" w:hAnsi="Times New Roman"/>
          <w:b/>
          <w:bCs/>
          <w:color w:val="010000"/>
          <w:sz w:val="24"/>
          <w:lang w:eastAsia="tr-TR"/>
        </w:rPr>
        <w:t xml:space="preserve">II- İLK İNCELEME </w:t>
      </w:r>
    </w:p>
    <w:p w:rsidR="00C60ABF" w:rsidRPr="00C60ABF" w:rsidRDefault="00C60ABF" w:rsidP="00C60ABF">
      <w:pPr>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Büyük Anavatan Partisinin Anayasa Mahkemesine verdiği 2012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1-</w:t>
      </w:r>
      <w:r w:rsidRPr="00C60ABF">
        <w:rPr>
          <w:rFonts w:ascii="Times New Roman" w:hAnsi="Times New Roman"/>
          <w:color w:val="010000"/>
          <w:sz w:val="24"/>
          <w:szCs w:val="19"/>
          <w:lang w:eastAsia="tr-TR"/>
        </w:rPr>
        <w:t xml:space="preserve"> </w:t>
      </w:r>
      <w:r w:rsidRPr="00C60ABF">
        <w:rPr>
          <w:rFonts w:ascii="Times New Roman" w:hAnsi="Times New Roman"/>
          <w:color w:val="010000"/>
          <w:sz w:val="24"/>
          <w:szCs w:val="19"/>
          <w:lang w:eastAsia="tr-TR"/>
        </w:rPr>
        <w:t xml:space="preserve">Anayasa Mahkemesi Başkanlığına 26.06.2013 gün ve 2584-355-356 sayı ile verilen Büyük Anavatan Partisi Genel Başkanı </w:t>
      </w:r>
      <w:proofErr w:type="spellStart"/>
      <w:r w:rsidRPr="00C60ABF">
        <w:rPr>
          <w:rFonts w:ascii="Times New Roman" w:hAnsi="Times New Roman"/>
          <w:color w:val="010000"/>
          <w:sz w:val="24"/>
          <w:szCs w:val="19"/>
          <w:lang w:eastAsia="tr-TR"/>
        </w:rPr>
        <w:t>Emanullah</w:t>
      </w:r>
      <w:proofErr w:type="spellEnd"/>
      <w:r w:rsidRPr="00C60ABF">
        <w:rPr>
          <w:rFonts w:ascii="Times New Roman" w:hAnsi="Times New Roman"/>
          <w:color w:val="010000"/>
          <w:sz w:val="24"/>
          <w:szCs w:val="19"/>
          <w:lang w:eastAsia="tr-TR"/>
        </w:rPr>
        <w:t xml:space="preserve"> GÜNDÜZ imzalı 25.06.2013 günlü yazıda, Büyük Anavatan Partisinin 2012 yılına ait Genel Merkez, il ve ilçe teşkilatlarının her hangi bir gelir ve gideri olmadığı ifade edilerek Genel Merkez ve il örgütlerine ait kesin hesap cetvelleri ve Partinin 2012 yılında edindiği taşınmaz ve değeri 100 TL’yi aşan taşınır malların, menkul kıymetlerin ve her türlü hakların değerleri ile edinim tarihlerini ve şekillerini de belirten listeler gönderilmemiştir. </w:t>
      </w:r>
    </w:p>
    <w:p w:rsidR="00C60ABF" w:rsidRPr="00C60ABF" w:rsidRDefault="00C60ABF" w:rsidP="00C60ABF">
      <w:pPr>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2820 sayılı Kanun’un 74. maddesinde, “</w:t>
      </w:r>
      <w:r w:rsidRPr="00C60ABF">
        <w:rPr>
          <w:rFonts w:ascii="Times New Roman" w:hAnsi="Times New Roman"/>
          <w:i/>
          <w:iCs/>
          <w:color w:val="010000"/>
          <w:sz w:val="24"/>
          <w:szCs w:val="19"/>
          <w:lang w:eastAsia="tr-TR"/>
        </w:rPr>
        <w:t>Siyasi partilerin mali denetimi Anayasa Mahkemesince yapılır. Anayasa Mahkemesi, siyasi partilerin mal edinimleri ile gelir ve giderlerinin Kanuni uygunluğunu denetler.</w:t>
      </w:r>
    </w:p>
    <w:p w:rsidR="00C60ABF" w:rsidRPr="00C60ABF" w:rsidRDefault="00C60ABF" w:rsidP="00C60ABF">
      <w:pPr>
        <w:autoSpaceDE w:val="0"/>
        <w:autoSpaceDN w:val="0"/>
        <w:spacing w:line="240" w:lineRule="auto"/>
        <w:ind w:right="283" w:firstLine="709"/>
        <w:jc w:val="both"/>
        <w:rPr>
          <w:rFonts w:ascii="Times New Roman" w:hAnsi="Times New Roman"/>
          <w:i/>
          <w:iCs/>
          <w:color w:val="010000"/>
          <w:sz w:val="24"/>
          <w:szCs w:val="19"/>
          <w:lang w:eastAsia="tr-TR"/>
        </w:rPr>
      </w:pPr>
      <w:r w:rsidRPr="00C60ABF">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C60ABF">
        <w:rPr>
          <w:rFonts w:ascii="Times New Roman" w:hAnsi="Times New Roman"/>
          <w:i/>
          <w:iCs/>
          <w:color w:val="010000"/>
          <w:sz w:val="24"/>
          <w:szCs w:val="19"/>
          <w:lang w:eastAsia="tr-TR"/>
        </w:rPr>
        <w:t>Haziran</w:t>
      </w:r>
      <w:proofErr w:type="gramEnd"/>
      <w:r w:rsidRPr="00C60ABF">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C60ABF" w:rsidRPr="00C60ABF" w:rsidRDefault="00C60ABF" w:rsidP="00C60ABF">
      <w:pPr>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111. maddesinin birinci fıkrasının (b) bendinde ise siyasi partilerin</w:t>
      </w:r>
      <w:r w:rsidRPr="00C60ABF">
        <w:rPr>
          <w:rFonts w:ascii="Times New Roman" w:hAnsi="Times New Roman"/>
          <w:i/>
          <w:iCs/>
          <w:color w:val="010000"/>
          <w:sz w:val="24"/>
          <w:szCs w:val="19"/>
          <w:lang w:eastAsia="tr-TR"/>
        </w:rPr>
        <w:t xml:space="preserve"> “</w:t>
      </w:r>
      <w:proofErr w:type="gramStart"/>
      <w:r w:rsidRPr="00C60ABF">
        <w:rPr>
          <w:rFonts w:ascii="Times New Roman" w:hAnsi="Times New Roman"/>
          <w:i/>
          <w:iCs/>
          <w:color w:val="010000"/>
          <w:sz w:val="24"/>
          <w:szCs w:val="19"/>
          <w:lang w:eastAsia="tr-TR"/>
        </w:rPr>
        <w:t>74 üncü</w:t>
      </w:r>
      <w:proofErr w:type="gramEnd"/>
      <w:r w:rsidRPr="00C60ABF">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C60ABF" w:rsidRPr="00C60ABF" w:rsidRDefault="00C60ABF" w:rsidP="00C60ABF">
      <w:pPr>
        <w:spacing w:line="240" w:lineRule="auto"/>
        <w:ind w:right="283" w:firstLine="709"/>
        <w:jc w:val="both"/>
        <w:rPr>
          <w:rFonts w:ascii="Times New Roman" w:hAnsi="Times New Roman"/>
          <w:color w:val="010000"/>
          <w:sz w:val="24"/>
          <w:szCs w:val="19"/>
          <w:lang w:eastAsia="tr-TR"/>
        </w:rPr>
      </w:pPr>
      <w:proofErr w:type="gramStart"/>
      <w:r w:rsidRPr="00C60ABF">
        <w:rPr>
          <w:rFonts w:ascii="Times New Roman" w:hAnsi="Times New Roman"/>
          <w:color w:val="010000"/>
          <w:sz w:val="24"/>
          <w:szCs w:val="19"/>
          <w:lang w:eastAsia="tr-TR"/>
        </w:rPr>
        <w:t>hükümleri</w:t>
      </w:r>
      <w:proofErr w:type="gramEnd"/>
      <w:r w:rsidRPr="00C60ABF">
        <w:rPr>
          <w:rFonts w:ascii="Times New Roman" w:hAnsi="Times New Roman"/>
          <w:color w:val="010000"/>
          <w:sz w:val="24"/>
          <w:szCs w:val="19"/>
          <w:lang w:eastAsia="tr-TR"/>
        </w:rPr>
        <w:t xml:space="preserve"> yer almıştır. </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Herhangi bir gelir ve gideri olmadığı gerekçesiyle kesin hesap cetvellerini 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 fıkrasına istinaden gerekli işlemlerin yapılması için Ankara Cumhuriyet Başsavcılığına suç duyurusunda bulunulması gerekir.</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2- Parti Genel Merkez ve il örgütlerine ait gelir ve giderin olmadığı belirtilmiştir.</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lastRenderedPageBreak/>
        <w:t xml:space="preserve">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 </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 xml:space="preserve">Parti yetkililerinin sundukları kesin hesapta, Genel Merkez ve il örgütlerine ilişkin </w:t>
      </w:r>
      <w:proofErr w:type="gramStart"/>
      <w:r w:rsidRPr="00C60ABF">
        <w:rPr>
          <w:rFonts w:ascii="Times New Roman" w:hAnsi="Times New Roman"/>
          <w:color w:val="010000"/>
          <w:sz w:val="24"/>
          <w:szCs w:val="19"/>
          <w:lang w:eastAsia="tr-TR"/>
        </w:rPr>
        <w:t>her hangi</w:t>
      </w:r>
      <w:proofErr w:type="gramEnd"/>
      <w:r w:rsidRPr="00C60ABF">
        <w:rPr>
          <w:rFonts w:ascii="Times New Roman" w:hAnsi="Times New Roman"/>
          <w:color w:val="010000"/>
          <w:sz w:val="24"/>
          <w:szCs w:val="19"/>
          <w:lang w:eastAsia="tr-TR"/>
        </w:rPr>
        <w:t xml:space="preserve"> bir gelir ve gider belirtilmemiştir. Parti Genel Merkezi ve il örgütleri faaliyette olduğuna göre, bu teşkilatlara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 xml:space="preserve">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w:t>
      </w:r>
      <w:proofErr w:type="gramStart"/>
      <w:r w:rsidRPr="00C60ABF">
        <w:rPr>
          <w:rFonts w:ascii="Times New Roman" w:hAnsi="Times New Roman"/>
          <w:color w:val="010000"/>
          <w:sz w:val="24"/>
          <w:szCs w:val="19"/>
          <w:lang w:eastAsia="tr-TR"/>
        </w:rPr>
        <w:t>yapılması</w:t>
      </w:r>
      <w:proofErr w:type="gramEnd"/>
      <w:r w:rsidRPr="00C60ABF">
        <w:rPr>
          <w:rFonts w:ascii="Times New Roman" w:hAnsi="Times New Roman"/>
          <w:color w:val="010000"/>
          <w:sz w:val="24"/>
          <w:szCs w:val="19"/>
          <w:lang w:eastAsia="tr-TR"/>
        </w:rPr>
        <w:t xml:space="preserve"> için Ankara Cumhuriyet Başsavcılığına suç duyurusunda bulunulması gerekir.</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 xml:space="preserve">Diğer taraftan, gelir ve gideri olmadığı beyan edilerek herhangi bir bilgi ve belge ibraz edilmeyen Parti Genel Merkez ve il örgütlerinin kesin hesabının denetimi gerçekleştirilemediğinden, Partinin 2012 yılı hesabının 2820 sayılı Kanun uyarınca kabul edilmesinin mümkün olmadığına karar vermek gerekmiştir. </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lang w:eastAsia="tr-TR"/>
        </w:rPr>
      </w:pPr>
      <w:r w:rsidRPr="00C60ABF">
        <w:rPr>
          <w:rFonts w:ascii="Times New Roman" w:hAnsi="Times New Roman"/>
          <w:b/>
          <w:bCs/>
          <w:color w:val="010000"/>
          <w:sz w:val="24"/>
          <w:lang w:eastAsia="tr-TR"/>
        </w:rPr>
        <w:t>III-</w:t>
      </w:r>
      <w:r w:rsidRPr="00C60ABF">
        <w:rPr>
          <w:rFonts w:ascii="Times New Roman" w:hAnsi="Times New Roman"/>
          <w:color w:val="010000"/>
          <w:sz w:val="24"/>
          <w:lang w:eastAsia="tr-TR"/>
        </w:rPr>
        <w:t xml:space="preserve"> </w:t>
      </w:r>
      <w:r w:rsidRPr="00C60ABF">
        <w:rPr>
          <w:rFonts w:ascii="Times New Roman" w:hAnsi="Times New Roman"/>
          <w:b/>
          <w:bCs/>
          <w:color w:val="010000"/>
          <w:sz w:val="24"/>
          <w:lang w:eastAsia="tr-TR"/>
        </w:rPr>
        <w:t>SONUÇ</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Büyük Anavatan Partisi 2012 yılı kesin hesabının incelenmesi sonucunda;</w:t>
      </w:r>
    </w:p>
    <w:p w:rsidR="00C60ABF" w:rsidRPr="00C60ABF" w:rsidRDefault="00C60ABF" w:rsidP="00C60ABF">
      <w:pPr>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 xml:space="preserve">1- Genel Merkez ve il örgütlerine ait 2012 yılı kesin hesabının ve Partinin 2012 yılında edindiği taşınmaz ve değeri yüz milyon lirayı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C60ABF" w:rsidRPr="00C60ABF" w:rsidRDefault="00C60ABF" w:rsidP="00C60ABF">
      <w:pPr>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3- Gelir ve gideri olmadığı beyan edilerek herhangi bir bilgi ve belge ibraz edilmeyen Parti Genel Merkez ve il örgütlerinin denetimi gerçekleştirilemediğinden, Partinin 2012 yılı hesabının 2820 sayılı Kanun uyarınca kabul edilmesinin mümkün olmadığına,</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60ABF">
        <w:rPr>
          <w:rFonts w:ascii="Times New Roman" w:hAnsi="Times New Roman"/>
          <w:color w:val="010000"/>
          <w:sz w:val="24"/>
          <w:szCs w:val="19"/>
          <w:lang w:eastAsia="tr-TR"/>
        </w:rPr>
        <w:t>11.2.2014 gününde OYBİRLİĞİYLE karar verildi.</w:t>
      </w:r>
    </w:p>
    <w:p w:rsidR="00C60ABF" w:rsidRPr="00C60ABF" w:rsidRDefault="00C60ABF" w:rsidP="00C60ABF">
      <w:pPr>
        <w:overflowPunct w:val="0"/>
        <w:autoSpaceDE w:val="0"/>
        <w:autoSpaceDN w:val="0"/>
        <w:spacing w:line="240" w:lineRule="auto"/>
        <w:ind w:right="283" w:firstLine="709"/>
        <w:jc w:val="both"/>
        <w:rPr>
          <w:rFonts w:ascii="Times New Roman" w:hAnsi="Times New Roman"/>
          <w:color w:val="010000"/>
          <w:sz w:val="24"/>
          <w:szCs w:val="19"/>
          <w:lang w:eastAsia="tr-TR"/>
        </w:rPr>
      </w:pPr>
    </w:p>
    <w:tbl>
      <w:tblPr>
        <w:tblW w:w="5000" w:type="pct"/>
        <w:jc w:val="center"/>
        <w:tblCellMar>
          <w:left w:w="70" w:type="dxa"/>
          <w:right w:w="70" w:type="dxa"/>
        </w:tblCellMar>
        <w:tblLook w:val="0000" w:firstRow="0" w:lastRow="0" w:firstColumn="0" w:lastColumn="0" w:noHBand="0" w:noVBand="0"/>
      </w:tblPr>
      <w:tblGrid>
        <w:gridCol w:w="3262"/>
        <w:gridCol w:w="3261"/>
        <w:gridCol w:w="3257"/>
      </w:tblGrid>
      <w:tr w:rsidR="00C60ABF" w:rsidRPr="00C60ABF" w:rsidTr="00C60ABF">
        <w:trPr>
          <w:jc w:val="center"/>
        </w:trPr>
        <w:tc>
          <w:tcPr>
            <w:tcW w:w="1668" w:type="pct"/>
          </w:tcPr>
          <w:p w:rsidR="00C60ABF" w:rsidRPr="00C60ABF" w:rsidRDefault="00C60ABF" w:rsidP="00C60ABF">
            <w:pPr>
              <w:spacing w:before="240" w:after="240" w:line="240" w:lineRule="auto"/>
              <w:jc w:val="center"/>
              <w:rPr>
                <w:rFonts w:ascii="Times New Roman" w:hAnsi="Times New Roman"/>
                <w:color w:val="010000"/>
                <w:sz w:val="24"/>
                <w:szCs w:val="19"/>
              </w:rPr>
            </w:pPr>
            <w:bookmarkStart w:id="0" w:name="_GoBack"/>
            <w:bookmarkEnd w:id="0"/>
            <w:r w:rsidRPr="00C60ABF">
              <w:rPr>
                <w:rFonts w:ascii="Times New Roman" w:hAnsi="Times New Roman"/>
                <w:color w:val="010000"/>
                <w:sz w:val="24"/>
                <w:szCs w:val="19"/>
              </w:rPr>
              <w:t>Başkan</w:t>
            </w:r>
          </w:p>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Haşim KILIÇ</w:t>
            </w:r>
          </w:p>
        </w:tc>
        <w:tc>
          <w:tcPr>
            <w:tcW w:w="1667" w:type="pct"/>
          </w:tcPr>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Başkanvekili</w:t>
            </w:r>
          </w:p>
          <w:p w:rsidR="00C60ABF" w:rsidRPr="00C60ABF" w:rsidRDefault="00C60ABF" w:rsidP="00C60ABF">
            <w:pPr>
              <w:spacing w:before="240" w:after="240" w:line="240" w:lineRule="auto"/>
              <w:jc w:val="center"/>
              <w:rPr>
                <w:rFonts w:ascii="Times New Roman" w:hAnsi="Times New Roman"/>
                <w:color w:val="010000"/>
                <w:sz w:val="24"/>
                <w:szCs w:val="19"/>
              </w:rPr>
            </w:pPr>
            <w:proofErr w:type="spellStart"/>
            <w:r w:rsidRPr="00C60ABF">
              <w:rPr>
                <w:rFonts w:ascii="Times New Roman" w:hAnsi="Times New Roman"/>
                <w:color w:val="010000"/>
                <w:sz w:val="24"/>
                <w:szCs w:val="19"/>
              </w:rPr>
              <w:t>Serruh</w:t>
            </w:r>
            <w:proofErr w:type="spellEnd"/>
            <w:r w:rsidRPr="00C60ABF">
              <w:rPr>
                <w:rFonts w:ascii="Times New Roman" w:hAnsi="Times New Roman"/>
                <w:color w:val="010000"/>
                <w:sz w:val="24"/>
                <w:szCs w:val="19"/>
              </w:rPr>
              <w:t xml:space="preserve"> KALELİ</w:t>
            </w:r>
          </w:p>
        </w:tc>
        <w:tc>
          <w:tcPr>
            <w:tcW w:w="1665" w:type="pct"/>
          </w:tcPr>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Başkanvekili</w:t>
            </w:r>
          </w:p>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Alparslan ALTAN</w:t>
            </w:r>
          </w:p>
        </w:tc>
      </w:tr>
      <w:tr w:rsidR="00C60ABF" w:rsidRPr="00C60ABF" w:rsidTr="00C60ABF">
        <w:tblPrEx>
          <w:tblCellMar>
            <w:left w:w="108" w:type="dxa"/>
            <w:right w:w="108" w:type="dxa"/>
          </w:tblCellMar>
          <w:tblLook w:val="01E0" w:firstRow="1" w:lastRow="1" w:firstColumn="1" w:lastColumn="1" w:noHBand="0" w:noVBand="0"/>
        </w:tblPrEx>
        <w:trPr>
          <w:jc w:val="center"/>
        </w:trPr>
        <w:tc>
          <w:tcPr>
            <w:tcW w:w="1668" w:type="pct"/>
          </w:tcPr>
          <w:p w:rsidR="00C60ABF" w:rsidRPr="00C60ABF" w:rsidRDefault="00C60ABF" w:rsidP="00C60ABF">
            <w:pPr>
              <w:overflowPunct w:val="0"/>
              <w:autoSpaceDE w:val="0"/>
              <w:autoSpaceDN w:val="0"/>
              <w:adjustRightInd w:val="0"/>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lastRenderedPageBreak/>
              <w:t>Üye</w:t>
            </w:r>
          </w:p>
          <w:p w:rsidR="00C60ABF" w:rsidRPr="00C60ABF" w:rsidRDefault="00C60ABF" w:rsidP="00C60ABF">
            <w:pPr>
              <w:overflowPunct w:val="0"/>
              <w:autoSpaceDE w:val="0"/>
              <w:autoSpaceDN w:val="0"/>
              <w:adjustRightInd w:val="0"/>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Serdar ÖZGÜLDÜR</w:t>
            </w:r>
          </w:p>
        </w:tc>
        <w:tc>
          <w:tcPr>
            <w:tcW w:w="1667" w:type="pct"/>
          </w:tcPr>
          <w:p w:rsidR="00C60ABF" w:rsidRPr="00C60ABF" w:rsidRDefault="00C60ABF" w:rsidP="00C60ABF">
            <w:pPr>
              <w:overflowPunct w:val="0"/>
              <w:autoSpaceDE w:val="0"/>
              <w:autoSpaceDN w:val="0"/>
              <w:adjustRightInd w:val="0"/>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Üye</w:t>
            </w:r>
          </w:p>
          <w:p w:rsidR="00C60ABF" w:rsidRPr="00C60ABF" w:rsidRDefault="00C60ABF" w:rsidP="00C60ABF">
            <w:pPr>
              <w:overflowPunct w:val="0"/>
              <w:autoSpaceDE w:val="0"/>
              <w:autoSpaceDN w:val="0"/>
              <w:adjustRightInd w:val="0"/>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 xml:space="preserve"> </w:t>
            </w:r>
            <w:r w:rsidRPr="00C60ABF">
              <w:rPr>
                <w:rFonts w:ascii="Times New Roman" w:hAnsi="Times New Roman"/>
                <w:color w:val="010000"/>
                <w:sz w:val="24"/>
                <w:szCs w:val="19"/>
              </w:rPr>
              <w:t xml:space="preserve">Osman </w:t>
            </w:r>
            <w:proofErr w:type="spellStart"/>
            <w:r w:rsidRPr="00C60ABF">
              <w:rPr>
                <w:rFonts w:ascii="Times New Roman" w:hAnsi="Times New Roman"/>
                <w:color w:val="010000"/>
                <w:sz w:val="24"/>
                <w:szCs w:val="19"/>
              </w:rPr>
              <w:t>Alifeyyaz</w:t>
            </w:r>
            <w:proofErr w:type="spellEnd"/>
            <w:r w:rsidRPr="00C60ABF">
              <w:rPr>
                <w:rFonts w:ascii="Times New Roman" w:hAnsi="Times New Roman"/>
                <w:color w:val="010000"/>
                <w:sz w:val="24"/>
                <w:szCs w:val="19"/>
              </w:rPr>
              <w:t xml:space="preserve"> PAKSÜT</w:t>
            </w:r>
          </w:p>
        </w:tc>
        <w:tc>
          <w:tcPr>
            <w:tcW w:w="1665" w:type="pct"/>
          </w:tcPr>
          <w:p w:rsidR="00C60ABF" w:rsidRPr="00C60ABF" w:rsidRDefault="00C60ABF" w:rsidP="00C60ABF">
            <w:pPr>
              <w:overflowPunct w:val="0"/>
              <w:autoSpaceDE w:val="0"/>
              <w:autoSpaceDN w:val="0"/>
              <w:adjustRightInd w:val="0"/>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Üye</w:t>
            </w:r>
          </w:p>
          <w:p w:rsidR="00C60ABF" w:rsidRPr="00C60ABF" w:rsidRDefault="00C60ABF" w:rsidP="00C60ABF">
            <w:pPr>
              <w:overflowPunct w:val="0"/>
              <w:autoSpaceDE w:val="0"/>
              <w:autoSpaceDN w:val="0"/>
              <w:adjustRightInd w:val="0"/>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Zehra Ayla PERKTAŞ</w:t>
            </w:r>
          </w:p>
        </w:tc>
      </w:tr>
      <w:tr w:rsidR="00C60ABF" w:rsidRPr="00C60ABF" w:rsidTr="00C60ABF">
        <w:trPr>
          <w:jc w:val="center"/>
        </w:trPr>
        <w:tc>
          <w:tcPr>
            <w:tcW w:w="1668" w:type="pct"/>
          </w:tcPr>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Üye</w:t>
            </w:r>
          </w:p>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 xml:space="preserve"> Recep KÖMÜRCÜ</w:t>
            </w:r>
          </w:p>
        </w:tc>
        <w:tc>
          <w:tcPr>
            <w:tcW w:w="1667" w:type="pct"/>
          </w:tcPr>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Üye</w:t>
            </w:r>
          </w:p>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 xml:space="preserve"> </w:t>
            </w:r>
            <w:r w:rsidRPr="00C60ABF">
              <w:rPr>
                <w:rFonts w:ascii="Times New Roman" w:hAnsi="Times New Roman"/>
                <w:color w:val="010000"/>
                <w:sz w:val="24"/>
                <w:szCs w:val="19"/>
              </w:rPr>
              <w:t>Burhan ÜSTÜN</w:t>
            </w:r>
          </w:p>
        </w:tc>
        <w:tc>
          <w:tcPr>
            <w:tcW w:w="1665" w:type="pct"/>
          </w:tcPr>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Üye</w:t>
            </w:r>
          </w:p>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Engin YILDIRIM</w:t>
            </w:r>
          </w:p>
        </w:tc>
      </w:tr>
      <w:tr w:rsidR="00C60ABF" w:rsidRPr="00C60ABF" w:rsidTr="00C60ABF">
        <w:trPr>
          <w:jc w:val="center"/>
        </w:trPr>
        <w:tc>
          <w:tcPr>
            <w:tcW w:w="1668" w:type="pct"/>
          </w:tcPr>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Üye</w:t>
            </w:r>
          </w:p>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Nuri NECİPOĞLU</w:t>
            </w:r>
          </w:p>
        </w:tc>
        <w:tc>
          <w:tcPr>
            <w:tcW w:w="1667" w:type="pct"/>
          </w:tcPr>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Üye</w:t>
            </w:r>
          </w:p>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Celal Mümtaz AKINCI</w:t>
            </w:r>
          </w:p>
        </w:tc>
        <w:tc>
          <w:tcPr>
            <w:tcW w:w="1665" w:type="pct"/>
          </w:tcPr>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Üye</w:t>
            </w:r>
          </w:p>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Erdal TERCAN</w:t>
            </w:r>
          </w:p>
        </w:tc>
      </w:tr>
      <w:tr w:rsidR="00C60ABF" w:rsidRPr="00C60ABF" w:rsidTr="00C60ABF">
        <w:trPr>
          <w:jc w:val="center"/>
        </w:trPr>
        <w:tc>
          <w:tcPr>
            <w:tcW w:w="1668" w:type="pct"/>
          </w:tcPr>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Üye</w:t>
            </w:r>
          </w:p>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Muammer TOPAL</w:t>
            </w:r>
          </w:p>
        </w:tc>
        <w:tc>
          <w:tcPr>
            <w:tcW w:w="1667" w:type="pct"/>
          </w:tcPr>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Üye</w:t>
            </w:r>
          </w:p>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Zühtü ARSLAN</w:t>
            </w:r>
          </w:p>
        </w:tc>
        <w:tc>
          <w:tcPr>
            <w:tcW w:w="1665" w:type="pct"/>
          </w:tcPr>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Üye</w:t>
            </w:r>
          </w:p>
          <w:p w:rsidR="00C60ABF" w:rsidRPr="00C60ABF" w:rsidRDefault="00C60ABF" w:rsidP="00C60ABF">
            <w:pPr>
              <w:spacing w:before="240" w:after="240" w:line="240" w:lineRule="auto"/>
              <w:jc w:val="center"/>
              <w:rPr>
                <w:rFonts w:ascii="Times New Roman" w:hAnsi="Times New Roman"/>
                <w:color w:val="010000"/>
                <w:sz w:val="24"/>
                <w:szCs w:val="19"/>
              </w:rPr>
            </w:pPr>
            <w:r w:rsidRPr="00C60ABF">
              <w:rPr>
                <w:rFonts w:ascii="Times New Roman" w:hAnsi="Times New Roman"/>
                <w:color w:val="010000"/>
                <w:sz w:val="24"/>
                <w:szCs w:val="19"/>
              </w:rPr>
              <w:t>M. Emin KUZ</w:t>
            </w:r>
          </w:p>
        </w:tc>
      </w:tr>
    </w:tbl>
    <w:p w:rsidR="00C60ABF" w:rsidRPr="00C60ABF" w:rsidRDefault="00C60ABF" w:rsidP="00C60ABF">
      <w:pPr>
        <w:spacing w:line="240" w:lineRule="auto"/>
        <w:ind w:right="283" w:firstLine="709"/>
        <w:jc w:val="both"/>
        <w:rPr>
          <w:rFonts w:ascii="Times New Roman" w:hAnsi="Times New Roman"/>
          <w:color w:val="010000"/>
          <w:sz w:val="24"/>
        </w:rPr>
      </w:pPr>
    </w:p>
    <w:sectPr w:rsidR="00C60ABF" w:rsidRPr="00C60ABF" w:rsidSect="00C60AB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309" w:rsidRDefault="00244309" w:rsidP="00C60ABF">
      <w:pPr>
        <w:spacing w:after="0" w:line="240" w:lineRule="auto"/>
      </w:pPr>
      <w:r>
        <w:separator/>
      </w:r>
    </w:p>
  </w:endnote>
  <w:endnote w:type="continuationSeparator" w:id="0">
    <w:p w:rsidR="00244309" w:rsidRDefault="00244309" w:rsidP="00C6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14" w:rsidRDefault="00244309" w:rsidP="00C60ABF">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704A14" w:rsidRDefault="00244309" w:rsidP="00C60ABF">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14" w:rsidRPr="00C60ABF" w:rsidRDefault="00244309" w:rsidP="00C60ABF">
    <w:pPr>
      <w:pStyle w:val="a"/>
      <w:framePr w:wrap="around" w:vAnchor="text" w:hAnchor="margin" w:xAlign="right" w:y="1"/>
      <w:rPr>
        <w:rStyle w:val="SayfaNumaras"/>
        <w:rFonts w:ascii="Times New Roman" w:hAnsi="Times New Roman"/>
        <w:sz w:val="24"/>
      </w:rPr>
    </w:pPr>
    <w:r w:rsidRPr="00C60ABF">
      <w:rPr>
        <w:rStyle w:val="SayfaNumaras"/>
        <w:rFonts w:ascii="Times New Roman" w:hAnsi="Times New Roman"/>
        <w:sz w:val="24"/>
      </w:rPr>
      <w:fldChar w:fldCharType="begin"/>
    </w:r>
    <w:r w:rsidRPr="00C60ABF">
      <w:rPr>
        <w:rStyle w:val="SayfaNumaras"/>
        <w:rFonts w:ascii="Times New Roman" w:hAnsi="Times New Roman"/>
        <w:sz w:val="24"/>
      </w:rPr>
      <w:instrText xml:space="preserve">PAGE  </w:instrText>
    </w:r>
    <w:r w:rsidRPr="00C60ABF">
      <w:rPr>
        <w:rStyle w:val="SayfaNumaras"/>
        <w:rFonts w:ascii="Times New Roman" w:hAnsi="Times New Roman"/>
        <w:sz w:val="24"/>
      </w:rPr>
      <w:fldChar w:fldCharType="separate"/>
    </w:r>
    <w:r w:rsidRPr="00C60ABF">
      <w:rPr>
        <w:rStyle w:val="SayfaNumaras"/>
        <w:rFonts w:ascii="Times New Roman" w:hAnsi="Times New Roman"/>
        <w:noProof/>
        <w:sz w:val="24"/>
      </w:rPr>
      <w:t>4</w:t>
    </w:r>
    <w:r w:rsidRPr="00C60ABF">
      <w:rPr>
        <w:rStyle w:val="SayfaNumaras"/>
        <w:rFonts w:ascii="Times New Roman" w:hAnsi="Times New Roman"/>
        <w:sz w:val="24"/>
      </w:rPr>
      <w:fldChar w:fldCharType="end"/>
    </w:r>
  </w:p>
  <w:p w:rsidR="00704A14" w:rsidRDefault="00244309" w:rsidP="00C60ABF">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309" w:rsidRDefault="00244309" w:rsidP="00C60ABF">
      <w:pPr>
        <w:spacing w:after="0" w:line="240" w:lineRule="auto"/>
      </w:pPr>
      <w:r>
        <w:separator/>
      </w:r>
    </w:p>
  </w:footnote>
  <w:footnote w:type="continuationSeparator" w:id="0">
    <w:p w:rsidR="00244309" w:rsidRDefault="00244309" w:rsidP="00C60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ABF" w:rsidRPr="00C60ABF" w:rsidRDefault="00C60ABF" w:rsidP="00C60ABF">
    <w:pPr>
      <w:pStyle w:val="stBilgi"/>
      <w:rPr>
        <w:rFonts w:ascii="Times New Roman" w:hAnsi="Times New Roman"/>
        <w:b/>
        <w:sz w:val="24"/>
      </w:rPr>
    </w:pPr>
    <w:r w:rsidRPr="00C60ABF">
      <w:rPr>
        <w:rFonts w:ascii="Times New Roman" w:hAnsi="Times New Roman"/>
        <w:b/>
        <w:sz w:val="24"/>
      </w:rPr>
      <w:t>Esas Sayısı:2013/15 (Siyasi Parti Mali Denetimi)</w:t>
    </w:r>
  </w:p>
  <w:p w:rsidR="00C60ABF" w:rsidRDefault="00C60ABF" w:rsidP="00C60ABF">
    <w:pPr>
      <w:pStyle w:val="stBilgi"/>
      <w:rPr>
        <w:rFonts w:ascii="Times New Roman" w:hAnsi="Times New Roman"/>
        <w:b/>
        <w:sz w:val="24"/>
      </w:rPr>
    </w:pPr>
    <w:r>
      <w:rPr>
        <w:rFonts w:ascii="Times New Roman" w:hAnsi="Times New Roman"/>
        <w:b/>
        <w:sz w:val="24"/>
      </w:rPr>
      <w:t>Karar Sayısı:2014/24</w:t>
    </w:r>
  </w:p>
  <w:p w:rsidR="00704A14" w:rsidRPr="00C60ABF" w:rsidRDefault="00244309" w:rsidP="00C60ABF">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BF"/>
    <w:rsid w:val="00244309"/>
    <w:rsid w:val="00C60ABF"/>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ADAE4-18ED-4D50-99D2-C92AA84E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ABF"/>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C60ABF"/>
    <w:pPr>
      <w:tabs>
        <w:tab w:val="center" w:pos="4536"/>
        <w:tab w:val="right" w:pos="9072"/>
      </w:tabs>
    </w:pPr>
  </w:style>
  <w:style w:type="character" w:styleId="SayfaNumaras">
    <w:name w:val="page number"/>
    <w:basedOn w:val="VarsaylanParagrafYazTipi"/>
    <w:rsid w:val="00C60ABF"/>
  </w:style>
  <w:style w:type="paragraph" w:styleId="stBilgi">
    <w:name w:val="header"/>
    <w:basedOn w:val="Normal"/>
    <w:link w:val="stBilgiChar"/>
    <w:uiPriority w:val="99"/>
    <w:unhideWhenUsed/>
    <w:rsid w:val="00C60A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0ABF"/>
    <w:rPr>
      <w:rFonts w:ascii="Calibri" w:eastAsia="Times New Roman" w:hAnsi="Calibri" w:cs="Times New Roman"/>
    </w:rPr>
  </w:style>
  <w:style w:type="paragraph" w:styleId="AltBilgi">
    <w:name w:val="footer"/>
    <w:basedOn w:val="Normal"/>
    <w:link w:val="AltBilgiChar"/>
    <w:uiPriority w:val="99"/>
    <w:unhideWhenUsed/>
    <w:rsid w:val="00C60A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0AB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2020-06-15T08:18:00Z</dcterms:created>
  <dcterms:modified xsi:type="dcterms:W3CDTF">2020-06-15T08:19:00Z</dcterms:modified>
</cp:coreProperties>
</file>