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553F" w:rsidRDefault="00ED553F" w:rsidP="00ED553F">
      <w:pPr>
        <w:pStyle w:val="NormalWeb"/>
        <w:spacing w:before="0" w:beforeAutospacing="0" w:after="200"/>
        <w:ind w:right="283"/>
        <w:jc w:val="center"/>
        <w:rPr>
          <w:b/>
          <w:bCs/>
          <w:caps/>
          <w:color w:val="010000"/>
          <w:szCs w:val="30"/>
        </w:rPr>
      </w:pPr>
      <w:r w:rsidRPr="00ED553F">
        <w:rPr>
          <w:b/>
          <w:bCs/>
          <w:caps/>
          <w:color w:val="010000"/>
          <w:szCs w:val="19"/>
        </w:rPr>
        <w:t xml:space="preserve"> </w:t>
      </w:r>
      <w:r w:rsidRPr="00ED553F">
        <w:rPr>
          <w:b/>
          <w:bCs/>
          <w:caps/>
          <w:color w:val="010000"/>
          <w:szCs w:val="30"/>
        </w:rPr>
        <w:t>ANAYASA MAHKEMESİ KARARI</w:t>
      </w:r>
    </w:p>
    <w:p w:rsidR="00ED553F" w:rsidRPr="00ED553F" w:rsidRDefault="00ED553F" w:rsidP="00ED553F">
      <w:pPr>
        <w:pStyle w:val="NormalWeb"/>
        <w:spacing w:before="0" w:beforeAutospacing="0" w:after="200"/>
        <w:ind w:right="283" w:firstLine="709"/>
        <w:jc w:val="center"/>
        <w:rPr>
          <w:b/>
          <w:caps/>
          <w:color w:val="010000"/>
          <w:szCs w:val="30"/>
        </w:rPr>
      </w:pPr>
    </w:p>
    <w:p w:rsidR="00ED553F" w:rsidRDefault="00ED553F" w:rsidP="00ED553F">
      <w:pPr>
        <w:pStyle w:val="NormalWeb"/>
        <w:spacing w:before="0" w:beforeAutospacing="0" w:after="0"/>
        <w:rPr>
          <w:b/>
          <w:bCs/>
          <w:color w:val="010000"/>
          <w:szCs w:val="22"/>
        </w:rPr>
      </w:pPr>
      <w:r>
        <w:rPr>
          <w:b/>
          <w:bCs/>
          <w:color w:val="010000"/>
          <w:szCs w:val="22"/>
        </w:rPr>
        <w:t>Esas Sayısı:2013/36 (Siyasi Parti Mali Denetimi)</w:t>
      </w:r>
    </w:p>
    <w:p w:rsidR="00ED553F" w:rsidRDefault="00ED553F" w:rsidP="00ED553F">
      <w:pPr>
        <w:pStyle w:val="NormalWeb"/>
        <w:spacing w:before="0" w:beforeAutospacing="0" w:after="0"/>
        <w:rPr>
          <w:b/>
          <w:color w:val="010000"/>
          <w:szCs w:val="22"/>
        </w:rPr>
      </w:pPr>
      <w:r>
        <w:rPr>
          <w:b/>
          <w:color w:val="010000"/>
          <w:szCs w:val="22"/>
        </w:rPr>
        <w:t>Karar Sayısı:2014/16</w:t>
      </w:r>
    </w:p>
    <w:p w:rsidR="00ED553F" w:rsidRDefault="00ED553F" w:rsidP="00ED553F">
      <w:pPr>
        <w:pStyle w:val="NormalWeb"/>
        <w:spacing w:before="0" w:beforeAutospacing="0" w:after="0"/>
        <w:rPr>
          <w:b/>
          <w:color w:val="010000"/>
          <w:szCs w:val="22"/>
        </w:rPr>
      </w:pPr>
      <w:r>
        <w:rPr>
          <w:b/>
          <w:color w:val="010000"/>
          <w:szCs w:val="22"/>
        </w:rPr>
        <w:t>Karar Günü:11.2.2014</w:t>
      </w:r>
    </w:p>
    <w:p w:rsidR="00ED553F" w:rsidRDefault="00ED553F" w:rsidP="00ED553F">
      <w:pPr>
        <w:pStyle w:val="NormalWeb"/>
        <w:spacing w:before="0" w:beforeAutospacing="0" w:after="0"/>
        <w:rPr>
          <w:b/>
          <w:color w:val="010000"/>
          <w:szCs w:val="22"/>
        </w:rPr>
      </w:pPr>
      <w:r>
        <w:rPr>
          <w:b/>
          <w:color w:val="010000"/>
          <w:szCs w:val="22"/>
        </w:rPr>
        <w:t>R.G. Tarih-Sayı:02.04.2014-28960</w:t>
      </w:r>
    </w:p>
    <w:p w:rsidR="00ED553F" w:rsidRPr="00ED553F" w:rsidRDefault="00ED553F" w:rsidP="00ED553F">
      <w:pPr>
        <w:pStyle w:val="NormalWeb"/>
        <w:spacing w:before="0" w:beforeAutospacing="0" w:after="0"/>
        <w:rPr>
          <w:b/>
          <w:color w:val="010000"/>
          <w:szCs w:val="22"/>
        </w:rPr>
      </w:pPr>
    </w:p>
    <w:p w:rsidR="00ED553F" w:rsidRPr="00ED553F" w:rsidRDefault="00ED553F" w:rsidP="00ED553F">
      <w:pPr>
        <w:pStyle w:val="NormalWeb"/>
        <w:spacing w:before="0" w:beforeAutospacing="0" w:after="200"/>
        <w:ind w:right="283" w:firstLine="709"/>
        <w:jc w:val="both"/>
        <w:rPr>
          <w:color w:val="010000"/>
          <w:szCs w:val="22"/>
        </w:rPr>
      </w:pPr>
      <w:r w:rsidRPr="00ED553F">
        <w:rPr>
          <w:b/>
          <w:bCs/>
          <w:color w:val="010000"/>
          <w:szCs w:val="22"/>
        </w:rPr>
        <w:t>I- MALİ DENETİMİN KONUSU</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Güçlü Türkiye Partisi 2012 yılı kesin hesabının incelenmesidir.</w:t>
      </w:r>
    </w:p>
    <w:p w:rsidR="00ED553F" w:rsidRPr="00ED553F" w:rsidRDefault="00ED553F" w:rsidP="00ED553F">
      <w:pPr>
        <w:pStyle w:val="NormalWeb"/>
        <w:spacing w:before="0" w:beforeAutospacing="0" w:after="200"/>
        <w:ind w:right="283" w:firstLine="709"/>
        <w:jc w:val="both"/>
        <w:rPr>
          <w:color w:val="010000"/>
          <w:szCs w:val="22"/>
        </w:rPr>
      </w:pPr>
      <w:r w:rsidRPr="00ED553F">
        <w:rPr>
          <w:b/>
          <w:bCs/>
          <w:color w:val="010000"/>
          <w:szCs w:val="22"/>
        </w:rPr>
        <w:t>II- İLK İNCELEME</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Anayasa Mahkemesi İçtüzüğü hükümleri uyarınca yapılan ilk inceleme toplantısında, dosyada eksiklik bulunmadığından işin esasının incelenmesine OYBİRLİĞİYLE karar verilmiştir.</w:t>
      </w:r>
      <w:r w:rsidRPr="00ED553F">
        <w:rPr>
          <w:color w:val="010000"/>
          <w:szCs w:val="19"/>
        </w:rPr>
        <w:t xml:space="preserve"> </w:t>
      </w:r>
    </w:p>
    <w:p w:rsidR="00ED553F" w:rsidRPr="00ED553F" w:rsidRDefault="00ED553F" w:rsidP="00ED553F">
      <w:pPr>
        <w:pStyle w:val="NormalWeb"/>
        <w:spacing w:before="0" w:beforeAutospacing="0" w:after="200"/>
        <w:ind w:right="283" w:firstLine="709"/>
        <w:jc w:val="both"/>
        <w:rPr>
          <w:color w:val="010000"/>
          <w:szCs w:val="22"/>
        </w:rPr>
      </w:pPr>
      <w:r w:rsidRPr="00ED553F">
        <w:rPr>
          <w:b/>
          <w:bCs/>
          <w:color w:val="010000"/>
          <w:szCs w:val="22"/>
        </w:rPr>
        <w:t>III- ESASIN İNCELENMESİ</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Güçlü Türkiye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 xml:space="preserve">Denetimin maddi öğelerini oluşturan defter ve belgelerde Partinin Genel Merkezinin 2012 yılı gelirlerinin bulunmadığı, giderlerinin 1.200,00 TL olduğu, nakit mevcudu olarak ise 2013 yılına devredilen </w:t>
      </w:r>
      <w:proofErr w:type="gramStart"/>
      <w:r w:rsidRPr="00ED553F">
        <w:rPr>
          <w:color w:val="010000"/>
          <w:szCs w:val="19"/>
        </w:rPr>
        <w:t>her hangi</w:t>
      </w:r>
      <w:proofErr w:type="gramEnd"/>
      <w:r w:rsidRPr="00ED553F">
        <w:rPr>
          <w:color w:val="010000"/>
          <w:szCs w:val="19"/>
        </w:rPr>
        <w:t xml:space="preserve"> bir tutar olmadığı anlaşılmaktadır.</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 xml:space="preserve">Partinin 2012 yılı kesin hesabının, Parti Merkez Karar ve Yönetim Kurulunun 18.6.2013 günlü kararı ile kabul edilerek onaylandığı anlaşılmıştır. </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Partinin 2012 yılı kesin hesabının gelir ve gider rakamlarının yukarıda açıklanan tutarlardan oluştuğu, bu hâliyle 2012 yılı kesin hesabının doğru, denk ve 2820 sayılı Kanun’a uygun olduğu sonucuna varılmıştır.</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Güçlü Türkiye Partisi sadece genel merkez olarak teşkilatlanmış olup Partinin herhangi bir il ya da ilçe örgütü bulunmamaktadır.</w:t>
      </w:r>
    </w:p>
    <w:p w:rsidR="00ED553F" w:rsidRPr="00ED553F" w:rsidRDefault="00ED553F" w:rsidP="00ED553F">
      <w:pPr>
        <w:pStyle w:val="NormalWeb"/>
        <w:spacing w:before="0" w:beforeAutospacing="0" w:after="200"/>
        <w:ind w:right="283" w:firstLine="709"/>
        <w:jc w:val="both"/>
        <w:rPr>
          <w:color w:val="010000"/>
          <w:szCs w:val="22"/>
        </w:rPr>
      </w:pPr>
      <w:r w:rsidRPr="00ED553F">
        <w:rPr>
          <w:b/>
          <w:bCs/>
          <w:color w:val="010000"/>
          <w:szCs w:val="22"/>
        </w:rPr>
        <w:t>A-</w:t>
      </w:r>
      <w:r w:rsidRPr="00ED553F">
        <w:rPr>
          <w:color w:val="010000"/>
          <w:szCs w:val="22"/>
        </w:rPr>
        <w:t xml:space="preserve"> </w:t>
      </w:r>
      <w:r w:rsidRPr="00ED553F">
        <w:rPr>
          <w:b/>
          <w:bCs/>
          <w:color w:val="010000"/>
          <w:szCs w:val="22"/>
        </w:rPr>
        <w:t>Genel Merkez Gelirlerinin İncelenmesi</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Partinin Genel Merkez gelirleri bulunmamaktadır.</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Parti Genel Merkezinin defter kayıtları ve gelir belgeleri üzerinde yapılan incelemede, gelirlerin 2820 sayılı Kanun’a uygun olarak sağlandığı sonucuna varılmıştır.</w:t>
      </w:r>
    </w:p>
    <w:p w:rsidR="00ED553F" w:rsidRPr="00ED553F" w:rsidRDefault="00ED553F" w:rsidP="00ED553F">
      <w:pPr>
        <w:pStyle w:val="NormalWeb"/>
        <w:spacing w:before="0" w:beforeAutospacing="0" w:after="200"/>
        <w:ind w:right="283" w:firstLine="709"/>
        <w:jc w:val="both"/>
        <w:rPr>
          <w:color w:val="010000"/>
          <w:szCs w:val="22"/>
        </w:rPr>
      </w:pPr>
      <w:r w:rsidRPr="00ED553F">
        <w:rPr>
          <w:b/>
          <w:bCs/>
          <w:color w:val="010000"/>
          <w:szCs w:val="22"/>
        </w:rPr>
        <w:t>B- Genel Merkez Giderlerinin İncelenmesi</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Partinin Genel Merkez giderleri 1.200,00 TL olarak gösterilmiş olup bu tutarın tamamı gelecek yıl ödenecek kira borcundan oluşmaktadır.</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 xml:space="preserve"> </w:t>
      </w:r>
      <w:r w:rsidRPr="00ED553F">
        <w:rPr>
          <w:color w:val="010000"/>
          <w:szCs w:val="19"/>
        </w:rPr>
        <w:t>Parti Genel Merkezinin 2013 yılına devreden nakit mevcudu bulunmamaktadır.</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lastRenderedPageBreak/>
        <w:t>Parti Genel Merkezinin defter kayıtları ve gider belgeleri üzerinde yapılan incelemede, giderlerin 2820 sayılı Kanun’a uygun olarak gerçekleştirildiği sonucuna varılmıştır.</w:t>
      </w:r>
    </w:p>
    <w:p w:rsidR="00ED553F" w:rsidRPr="00ED553F" w:rsidRDefault="00ED553F" w:rsidP="00ED553F">
      <w:pPr>
        <w:pStyle w:val="NormalWeb"/>
        <w:spacing w:before="0" w:beforeAutospacing="0" w:after="200"/>
        <w:ind w:right="283" w:firstLine="709"/>
        <w:jc w:val="both"/>
        <w:rPr>
          <w:color w:val="010000"/>
          <w:szCs w:val="22"/>
        </w:rPr>
      </w:pPr>
      <w:r w:rsidRPr="00ED553F">
        <w:rPr>
          <w:b/>
          <w:bCs/>
          <w:color w:val="010000"/>
          <w:szCs w:val="22"/>
        </w:rPr>
        <w:t>C- Parti Malları</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Partinin 2012 yılı defter ve belgeleri üzerinde yapılan incelemede, herhangi bir taşınmaz mal ve değeri 100 TL’yi aşan taşınır mal ve menkul kıymet ediniminin olmadığı anlaşılmıştır.</w:t>
      </w:r>
    </w:p>
    <w:p w:rsidR="00ED553F" w:rsidRPr="00ED553F" w:rsidRDefault="00ED553F" w:rsidP="00ED553F">
      <w:pPr>
        <w:pStyle w:val="NormalWeb"/>
        <w:spacing w:before="0" w:beforeAutospacing="0" w:after="200"/>
        <w:ind w:right="283" w:firstLine="709"/>
        <w:jc w:val="both"/>
        <w:rPr>
          <w:color w:val="010000"/>
          <w:szCs w:val="22"/>
        </w:rPr>
      </w:pPr>
      <w:r w:rsidRPr="00ED553F">
        <w:rPr>
          <w:b/>
          <w:bCs/>
          <w:color w:val="010000"/>
          <w:szCs w:val="22"/>
        </w:rPr>
        <w:t>IV- SONUÇ</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Güçlü Türkiye Partisinin 2012 yılı kesin hesabının incelenmesi sonucunda;</w:t>
      </w:r>
    </w:p>
    <w:p w:rsidR="00ED553F" w:rsidRPr="00ED553F" w:rsidRDefault="00ED553F" w:rsidP="00ED553F">
      <w:pPr>
        <w:pStyle w:val="NormalWeb"/>
        <w:spacing w:before="0" w:beforeAutospacing="0" w:after="200"/>
        <w:ind w:right="283" w:firstLine="709"/>
        <w:jc w:val="both"/>
        <w:rPr>
          <w:color w:val="010000"/>
          <w:szCs w:val="19"/>
        </w:rPr>
      </w:pPr>
      <w:r w:rsidRPr="00ED553F">
        <w:rPr>
          <w:color w:val="010000"/>
          <w:szCs w:val="19"/>
        </w:rPr>
        <w:t>Partinin 2012 yılı kesin hesabında gösterilen 0,00 TL gelir ve 1.200,00 TL giderin eldeki bilgi ve belgelere göre doğru, denk ve 2820 sayılı Siyasi Partiler Kanunu’na uygun olduğuna, 11.2.2014 gününde OYBİRLİĞİYLE karar verildi.</w:t>
      </w:r>
    </w:p>
    <w:p w:rsidR="00ED553F" w:rsidRPr="00ED553F" w:rsidRDefault="00ED553F" w:rsidP="00ED553F">
      <w:pPr>
        <w:pStyle w:val="NormalWeb"/>
        <w:spacing w:before="0" w:beforeAutospacing="0" w:after="200"/>
        <w:ind w:right="283" w:firstLine="709"/>
        <w:jc w:val="both"/>
        <w:rPr>
          <w:color w:val="010000"/>
          <w:szCs w:val="19"/>
        </w:rPr>
      </w:pPr>
    </w:p>
    <w:p w:rsidR="00ED553F" w:rsidRDefault="00ED553F">
      <w:bookmarkStart w:id="0" w:name="_GoBack"/>
      <w:bookmarkEnd w:id="0"/>
    </w:p>
    <w:tbl>
      <w:tblPr>
        <w:tblW w:w="5000" w:type="pct"/>
        <w:jc w:val="center"/>
        <w:tblCellMar>
          <w:left w:w="70" w:type="dxa"/>
          <w:right w:w="70" w:type="dxa"/>
        </w:tblCellMar>
        <w:tblLook w:val="0000" w:firstRow="0" w:lastRow="0" w:firstColumn="0" w:lastColumn="0" w:noHBand="0" w:noVBand="0"/>
      </w:tblPr>
      <w:tblGrid>
        <w:gridCol w:w="3326"/>
        <w:gridCol w:w="3227"/>
        <w:gridCol w:w="3227"/>
      </w:tblGrid>
      <w:tr w:rsidR="00ED553F" w:rsidRPr="00ED553F" w:rsidTr="00ED553F">
        <w:trPr>
          <w:jc w:val="center"/>
        </w:trPr>
        <w:tc>
          <w:tcPr>
            <w:tcW w:w="1700" w:type="pct"/>
          </w:tcPr>
          <w:p w:rsidR="00ED553F" w:rsidRPr="00ED553F" w:rsidRDefault="00ED553F" w:rsidP="00ED553F">
            <w:pPr>
              <w:spacing w:before="240" w:after="240"/>
              <w:jc w:val="center"/>
              <w:rPr>
                <w:color w:val="010000"/>
                <w:szCs w:val="19"/>
              </w:rPr>
            </w:pPr>
            <w:r w:rsidRPr="00ED553F">
              <w:rPr>
                <w:color w:val="010000"/>
                <w:szCs w:val="19"/>
              </w:rPr>
              <w:t>Başkan</w:t>
            </w:r>
          </w:p>
          <w:p w:rsidR="00ED553F" w:rsidRPr="00ED553F" w:rsidRDefault="00ED553F" w:rsidP="00ED553F">
            <w:pPr>
              <w:spacing w:before="240" w:after="240"/>
              <w:jc w:val="center"/>
              <w:rPr>
                <w:color w:val="010000"/>
                <w:szCs w:val="19"/>
              </w:rPr>
            </w:pPr>
            <w:r w:rsidRPr="00ED553F">
              <w:rPr>
                <w:color w:val="010000"/>
                <w:szCs w:val="19"/>
              </w:rPr>
              <w:t>Haşim KILIÇ</w:t>
            </w:r>
          </w:p>
        </w:tc>
        <w:tc>
          <w:tcPr>
            <w:tcW w:w="1650" w:type="pct"/>
          </w:tcPr>
          <w:p w:rsidR="00ED553F" w:rsidRPr="00ED553F" w:rsidRDefault="00ED553F" w:rsidP="00ED553F">
            <w:pPr>
              <w:spacing w:before="240" w:after="240"/>
              <w:jc w:val="center"/>
              <w:rPr>
                <w:color w:val="010000"/>
                <w:szCs w:val="19"/>
              </w:rPr>
            </w:pPr>
            <w:r w:rsidRPr="00ED553F">
              <w:rPr>
                <w:color w:val="010000"/>
                <w:szCs w:val="19"/>
              </w:rPr>
              <w:t>Başkanvekili</w:t>
            </w:r>
          </w:p>
          <w:p w:rsidR="00ED553F" w:rsidRPr="00ED553F" w:rsidRDefault="00ED553F" w:rsidP="00ED553F">
            <w:pPr>
              <w:spacing w:before="240" w:after="240"/>
              <w:jc w:val="center"/>
              <w:rPr>
                <w:color w:val="010000"/>
                <w:szCs w:val="19"/>
              </w:rPr>
            </w:pPr>
            <w:proofErr w:type="spellStart"/>
            <w:r w:rsidRPr="00ED553F">
              <w:rPr>
                <w:color w:val="010000"/>
                <w:szCs w:val="19"/>
              </w:rPr>
              <w:t>Serruh</w:t>
            </w:r>
            <w:proofErr w:type="spellEnd"/>
            <w:r w:rsidRPr="00ED553F">
              <w:rPr>
                <w:color w:val="010000"/>
                <w:szCs w:val="19"/>
              </w:rPr>
              <w:t xml:space="preserve"> KALELİ</w:t>
            </w:r>
          </w:p>
        </w:tc>
        <w:tc>
          <w:tcPr>
            <w:tcW w:w="1650" w:type="pct"/>
          </w:tcPr>
          <w:p w:rsidR="00ED553F" w:rsidRPr="00ED553F" w:rsidRDefault="00ED553F" w:rsidP="00ED553F">
            <w:pPr>
              <w:spacing w:before="240" w:after="240"/>
              <w:jc w:val="center"/>
              <w:rPr>
                <w:color w:val="010000"/>
                <w:szCs w:val="19"/>
              </w:rPr>
            </w:pPr>
            <w:r w:rsidRPr="00ED553F">
              <w:rPr>
                <w:color w:val="010000"/>
                <w:szCs w:val="19"/>
              </w:rPr>
              <w:t>Başkanvekili</w:t>
            </w:r>
          </w:p>
          <w:p w:rsidR="00ED553F" w:rsidRPr="00ED553F" w:rsidRDefault="00ED553F" w:rsidP="00ED553F">
            <w:pPr>
              <w:spacing w:before="240" w:after="240"/>
              <w:jc w:val="center"/>
              <w:rPr>
                <w:color w:val="010000"/>
                <w:szCs w:val="19"/>
              </w:rPr>
            </w:pPr>
            <w:r w:rsidRPr="00ED553F">
              <w:rPr>
                <w:color w:val="010000"/>
                <w:szCs w:val="19"/>
              </w:rPr>
              <w:t>Alparslan ALTAN</w:t>
            </w:r>
          </w:p>
        </w:tc>
      </w:tr>
      <w:tr w:rsidR="00ED553F" w:rsidRPr="00ED553F" w:rsidTr="00ED553F">
        <w:tblPrEx>
          <w:tblCellMar>
            <w:left w:w="108" w:type="dxa"/>
            <w:right w:w="108" w:type="dxa"/>
          </w:tblCellMar>
          <w:tblLook w:val="01E0" w:firstRow="1" w:lastRow="1" w:firstColumn="1" w:lastColumn="1" w:noHBand="0" w:noVBand="0"/>
        </w:tblPrEx>
        <w:trPr>
          <w:jc w:val="center"/>
        </w:trPr>
        <w:tc>
          <w:tcPr>
            <w:tcW w:w="1700" w:type="pct"/>
          </w:tcPr>
          <w:p w:rsidR="00ED553F" w:rsidRPr="00ED553F" w:rsidRDefault="00ED553F" w:rsidP="00ED553F">
            <w:pPr>
              <w:overflowPunct w:val="0"/>
              <w:autoSpaceDE w:val="0"/>
              <w:autoSpaceDN w:val="0"/>
              <w:adjustRightInd w:val="0"/>
              <w:spacing w:before="240" w:after="240"/>
              <w:jc w:val="center"/>
              <w:rPr>
                <w:color w:val="010000"/>
                <w:szCs w:val="19"/>
              </w:rPr>
            </w:pPr>
            <w:r w:rsidRPr="00ED553F">
              <w:rPr>
                <w:color w:val="010000"/>
                <w:szCs w:val="19"/>
              </w:rPr>
              <w:t>Üye</w:t>
            </w:r>
          </w:p>
          <w:p w:rsidR="00ED553F" w:rsidRPr="00ED553F" w:rsidRDefault="00ED553F" w:rsidP="00ED553F">
            <w:pPr>
              <w:overflowPunct w:val="0"/>
              <w:autoSpaceDE w:val="0"/>
              <w:autoSpaceDN w:val="0"/>
              <w:adjustRightInd w:val="0"/>
              <w:spacing w:before="240" w:after="240"/>
              <w:jc w:val="center"/>
              <w:rPr>
                <w:color w:val="010000"/>
                <w:szCs w:val="19"/>
              </w:rPr>
            </w:pPr>
            <w:r w:rsidRPr="00ED553F">
              <w:rPr>
                <w:color w:val="010000"/>
                <w:szCs w:val="19"/>
              </w:rPr>
              <w:t>Serdar ÖZGÜLDÜR</w:t>
            </w:r>
          </w:p>
        </w:tc>
        <w:tc>
          <w:tcPr>
            <w:tcW w:w="1650" w:type="pct"/>
          </w:tcPr>
          <w:p w:rsidR="00ED553F" w:rsidRPr="00ED553F" w:rsidRDefault="00ED553F" w:rsidP="00ED553F">
            <w:pPr>
              <w:overflowPunct w:val="0"/>
              <w:autoSpaceDE w:val="0"/>
              <w:autoSpaceDN w:val="0"/>
              <w:adjustRightInd w:val="0"/>
              <w:spacing w:before="240" w:after="240"/>
              <w:jc w:val="center"/>
              <w:rPr>
                <w:color w:val="010000"/>
                <w:szCs w:val="19"/>
              </w:rPr>
            </w:pPr>
            <w:r w:rsidRPr="00ED553F">
              <w:rPr>
                <w:color w:val="010000"/>
                <w:szCs w:val="19"/>
              </w:rPr>
              <w:t>Üye</w:t>
            </w:r>
          </w:p>
          <w:p w:rsidR="00ED553F" w:rsidRPr="00ED553F" w:rsidRDefault="00ED553F" w:rsidP="00ED553F">
            <w:pPr>
              <w:overflowPunct w:val="0"/>
              <w:autoSpaceDE w:val="0"/>
              <w:autoSpaceDN w:val="0"/>
              <w:adjustRightInd w:val="0"/>
              <w:spacing w:before="240" w:after="240"/>
              <w:jc w:val="center"/>
              <w:rPr>
                <w:color w:val="010000"/>
                <w:szCs w:val="19"/>
              </w:rPr>
            </w:pPr>
            <w:r w:rsidRPr="00ED553F">
              <w:rPr>
                <w:color w:val="010000"/>
                <w:szCs w:val="19"/>
              </w:rPr>
              <w:t xml:space="preserve">Osman </w:t>
            </w:r>
            <w:proofErr w:type="spellStart"/>
            <w:r w:rsidRPr="00ED553F">
              <w:rPr>
                <w:color w:val="010000"/>
                <w:szCs w:val="19"/>
              </w:rPr>
              <w:t>Alifeyyaz</w:t>
            </w:r>
            <w:proofErr w:type="spellEnd"/>
            <w:r w:rsidRPr="00ED553F">
              <w:rPr>
                <w:color w:val="010000"/>
                <w:szCs w:val="19"/>
              </w:rPr>
              <w:t xml:space="preserve"> PAKSÜT</w:t>
            </w:r>
          </w:p>
        </w:tc>
        <w:tc>
          <w:tcPr>
            <w:tcW w:w="1650" w:type="pct"/>
          </w:tcPr>
          <w:p w:rsidR="00ED553F" w:rsidRPr="00ED553F" w:rsidRDefault="00ED553F" w:rsidP="00ED553F">
            <w:pPr>
              <w:overflowPunct w:val="0"/>
              <w:autoSpaceDE w:val="0"/>
              <w:autoSpaceDN w:val="0"/>
              <w:adjustRightInd w:val="0"/>
              <w:spacing w:before="240" w:after="240"/>
              <w:jc w:val="center"/>
              <w:rPr>
                <w:color w:val="010000"/>
                <w:szCs w:val="19"/>
              </w:rPr>
            </w:pPr>
            <w:r w:rsidRPr="00ED553F">
              <w:rPr>
                <w:color w:val="010000"/>
                <w:szCs w:val="19"/>
              </w:rPr>
              <w:t>Üye</w:t>
            </w:r>
          </w:p>
          <w:p w:rsidR="00ED553F" w:rsidRPr="00ED553F" w:rsidRDefault="00ED553F" w:rsidP="00ED553F">
            <w:pPr>
              <w:overflowPunct w:val="0"/>
              <w:autoSpaceDE w:val="0"/>
              <w:autoSpaceDN w:val="0"/>
              <w:adjustRightInd w:val="0"/>
              <w:spacing w:before="240" w:after="240"/>
              <w:jc w:val="center"/>
              <w:rPr>
                <w:color w:val="010000"/>
                <w:szCs w:val="19"/>
              </w:rPr>
            </w:pPr>
            <w:r w:rsidRPr="00ED553F">
              <w:rPr>
                <w:color w:val="010000"/>
                <w:szCs w:val="19"/>
              </w:rPr>
              <w:t>Zehra Ayla PERKTAŞ</w:t>
            </w:r>
          </w:p>
        </w:tc>
      </w:tr>
      <w:tr w:rsidR="00ED553F" w:rsidRPr="00ED553F" w:rsidTr="00ED553F">
        <w:trPr>
          <w:jc w:val="center"/>
        </w:trPr>
        <w:tc>
          <w:tcPr>
            <w:tcW w:w="170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Recep KÖMÜRCÜ</w:t>
            </w:r>
          </w:p>
        </w:tc>
        <w:tc>
          <w:tcPr>
            <w:tcW w:w="165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Burhan ÜSTÜN</w:t>
            </w:r>
          </w:p>
        </w:tc>
        <w:tc>
          <w:tcPr>
            <w:tcW w:w="165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Engin YILDIRIM</w:t>
            </w:r>
          </w:p>
        </w:tc>
      </w:tr>
      <w:tr w:rsidR="00ED553F" w:rsidRPr="00ED553F" w:rsidTr="00ED553F">
        <w:trPr>
          <w:jc w:val="center"/>
        </w:trPr>
        <w:tc>
          <w:tcPr>
            <w:tcW w:w="170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Nuri NECİPOĞLU</w:t>
            </w:r>
          </w:p>
        </w:tc>
        <w:tc>
          <w:tcPr>
            <w:tcW w:w="165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Celal Mümtaz AKINCI</w:t>
            </w:r>
          </w:p>
        </w:tc>
        <w:tc>
          <w:tcPr>
            <w:tcW w:w="165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Erdal TERCAN</w:t>
            </w:r>
          </w:p>
        </w:tc>
      </w:tr>
      <w:tr w:rsidR="00ED553F" w:rsidRPr="00ED553F" w:rsidTr="00ED553F">
        <w:trPr>
          <w:jc w:val="center"/>
        </w:trPr>
        <w:tc>
          <w:tcPr>
            <w:tcW w:w="170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Muammer TOPAL</w:t>
            </w:r>
          </w:p>
        </w:tc>
        <w:tc>
          <w:tcPr>
            <w:tcW w:w="165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Zühtü ARSLAN</w:t>
            </w:r>
          </w:p>
        </w:tc>
        <w:tc>
          <w:tcPr>
            <w:tcW w:w="1650" w:type="pct"/>
          </w:tcPr>
          <w:p w:rsidR="00ED553F" w:rsidRPr="00ED553F" w:rsidRDefault="00ED553F" w:rsidP="00ED553F">
            <w:pPr>
              <w:spacing w:before="240" w:after="240"/>
              <w:jc w:val="center"/>
              <w:rPr>
                <w:color w:val="010000"/>
                <w:szCs w:val="19"/>
              </w:rPr>
            </w:pPr>
            <w:r w:rsidRPr="00ED553F">
              <w:rPr>
                <w:color w:val="010000"/>
                <w:szCs w:val="19"/>
              </w:rPr>
              <w:t>Üye</w:t>
            </w:r>
          </w:p>
          <w:p w:rsidR="00ED553F" w:rsidRPr="00ED553F" w:rsidRDefault="00ED553F" w:rsidP="00ED553F">
            <w:pPr>
              <w:spacing w:before="240" w:after="240"/>
              <w:jc w:val="center"/>
              <w:rPr>
                <w:color w:val="010000"/>
                <w:szCs w:val="19"/>
              </w:rPr>
            </w:pPr>
            <w:r w:rsidRPr="00ED553F">
              <w:rPr>
                <w:color w:val="010000"/>
                <w:szCs w:val="19"/>
              </w:rPr>
              <w:t>M. Emin KUZ</w:t>
            </w:r>
          </w:p>
        </w:tc>
      </w:tr>
    </w:tbl>
    <w:p w:rsidR="00ED553F" w:rsidRPr="00ED553F" w:rsidRDefault="00ED553F" w:rsidP="00ED553F">
      <w:pPr>
        <w:spacing w:after="200"/>
        <w:ind w:right="283" w:firstLine="709"/>
        <w:jc w:val="both"/>
        <w:rPr>
          <w:color w:val="010000"/>
        </w:rPr>
      </w:pPr>
    </w:p>
    <w:sectPr w:rsidR="00ED553F" w:rsidRPr="00ED553F" w:rsidSect="00ED553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5DD6" w:rsidRDefault="00965DD6" w:rsidP="00ED553F">
      <w:r>
        <w:separator/>
      </w:r>
    </w:p>
  </w:endnote>
  <w:endnote w:type="continuationSeparator" w:id="0">
    <w:p w:rsidR="00965DD6" w:rsidRDefault="00965DD6" w:rsidP="00ED55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3709" w:rsidRDefault="00965DD6" w:rsidP="00ED553F">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83709" w:rsidRDefault="00965DD6" w:rsidP="00ED553F">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3709" w:rsidRPr="00ED553F" w:rsidRDefault="00965DD6" w:rsidP="00ED553F">
    <w:pPr>
      <w:pStyle w:val="a"/>
      <w:framePr w:wrap="around" w:vAnchor="text" w:hAnchor="margin" w:xAlign="right" w:y="1"/>
      <w:rPr>
        <w:rStyle w:val="SayfaNumaras"/>
      </w:rPr>
    </w:pPr>
    <w:r w:rsidRPr="00ED553F">
      <w:rPr>
        <w:rStyle w:val="SayfaNumaras"/>
      </w:rPr>
      <w:fldChar w:fldCharType="begin"/>
    </w:r>
    <w:r w:rsidRPr="00ED553F">
      <w:rPr>
        <w:rStyle w:val="SayfaNumaras"/>
      </w:rPr>
      <w:instrText xml:space="preserve">PAGE  </w:instrText>
    </w:r>
    <w:r w:rsidRPr="00ED553F">
      <w:rPr>
        <w:rStyle w:val="SayfaNumaras"/>
      </w:rPr>
      <w:fldChar w:fldCharType="separate"/>
    </w:r>
    <w:r w:rsidRPr="00ED553F">
      <w:rPr>
        <w:rStyle w:val="SayfaNumaras"/>
        <w:noProof/>
      </w:rPr>
      <w:t>3</w:t>
    </w:r>
    <w:r w:rsidRPr="00ED553F">
      <w:rPr>
        <w:rStyle w:val="SayfaNumaras"/>
      </w:rPr>
      <w:fldChar w:fldCharType="end"/>
    </w:r>
  </w:p>
  <w:p w:rsidR="00483709" w:rsidRDefault="00965DD6" w:rsidP="00ED553F">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5DD6" w:rsidRDefault="00965DD6" w:rsidP="00ED553F">
      <w:r>
        <w:separator/>
      </w:r>
    </w:p>
  </w:footnote>
  <w:footnote w:type="continuationSeparator" w:id="0">
    <w:p w:rsidR="00965DD6" w:rsidRDefault="00965DD6" w:rsidP="00ED55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553F" w:rsidRPr="00ED553F" w:rsidRDefault="00ED553F" w:rsidP="00ED553F">
    <w:pPr>
      <w:pStyle w:val="stBilgi"/>
      <w:rPr>
        <w:b/>
      </w:rPr>
    </w:pPr>
    <w:r w:rsidRPr="00ED553F">
      <w:rPr>
        <w:b/>
      </w:rPr>
      <w:t>Esas Sayısı:2013/36 (Siyasi Parti Mali Denetimi)</w:t>
    </w:r>
  </w:p>
  <w:p w:rsidR="00ED553F" w:rsidRDefault="00ED553F" w:rsidP="00ED553F">
    <w:pPr>
      <w:pStyle w:val="stBilgi"/>
      <w:rPr>
        <w:b/>
      </w:rPr>
    </w:pPr>
    <w:r>
      <w:rPr>
        <w:b/>
      </w:rPr>
      <w:t>Karar Sayısı:2014/16</w:t>
    </w:r>
  </w:p>
  <w:p w:rsidR="00483709" w:rsidRPr="00ED553F" w:rsidRDefault="00965DD6" w:rsidP="00ED553F">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53F"/>
    <w:rsid w:val="00965DD6"/>
    <w:rsid w:val="00D12EB3"/>
    <w:rsid w:val="00ED553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2D91A0-ED34-4B3F-815B-D5827BAB3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D553F"/>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ED553F"/>
    <w:pPr>
      <w:spacing w:before="100" w:beforeAutospacing="1" w:after="119"/>
    </w:pPr>
  </w:style>
  <w:style w:type="paragraph" w:styleId="a">
    <w:basedOn w:val="Normal"/>
    <w:next w:val="AltBilgi"/>
    <w:rsid w:val="00ED553F"/>
    <w:pPr>
      <w:tabs>
        <w:tab w:val="center" w:pos="4536"/>
        <w:tab w:val="right" w:pos="9072"/>
      </w:tabs>
    </w:pPr>
  </w:style>
  <w:style w:type="character" w:styleId="SayfaNumaras">
    <w:name w:val="page number"/>
    <w:basedOn w:val="VarsaylanParagrafYazTipi"/>
    <w:rsid w:val="00ED553F"/>
  </w:style>
  <w:style w:type="paragraph" w:styleId="AltBilgi">
    <w:name w:val="footer"/>
    <w:basedOn w:val="Normal"/>
    <w:link w:val="AltBilgiChar"/>
    <w:uiPriority w:val="99"/>
    <w:unhideWhenUsed/>
    <w:rsid w:val="00ED553F"/>
    <w:pPr>
      <w:tabs>
        <w:tab w:val="center" w:pos="4536"/>
        <w:tab w:val="right" w:pos="9072"/>
      </w:tabs>
    </w:pPr>
  </w:style>
  <w:style w:type="character" w:customStyle="1" w:styleId="AltBilgiChar">
    <w:name w:val="Alt Bilgi Char"/>
    <w:basedOn w:val="VarsaylanParagrafYazTipi"/>
    <w:link w:val="AltBilgi"/>
    <w:uiPriority w:val="99"/>
    <w:rsid w:val="00ED553F"/>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ED553F"/>
    <w:pPr>
      <w:tabs>
        <w:tab w:val="center" w:pos="4536"/>
        <w:tab w:val="right" w:pos="9072"/>
      </w:tabs>
    </w:pPr>
  </w:style>
  <w:style w:type="character" w:customStyle="1" w:styleId="stBilgiChar">
    <w:name w:val="Üst Bilgi Char"/>
    <w:basedOn w:val="VarsaylanParagrafYazTipi"/>
    <w:link w:val="stBilgi"/>
    <w:uiPriority w:val="99"/>
    <w:rsid w:val="00ED553F"/>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478</Words>
  <Characters>2730</Characters>
  <Application>Microsoft Office Word</Application>
  <DocSecurity>0</DocSecurity>
  <Lines>22</Lines>
  <Paragraphs>6</Paragraphs>
  <ScaleCrop>false</ScaleCrop>
  <Company/>
  <LinksUpToDate>false</LinksUpToDate>
  <CharactersWithSpaces>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2020-06-15T07:51:00Z</dcterms:created>
  <dcterms:modified xsi:type="dcterms:W3CDTF">2020-06-15T07:51:00Z</dcterms:modified>
</cp:coreProperties>
</file>