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FC5" w:rsidRDefault="00E14FC5" w:rsidP="00E14FC5">
      <w:pPr>
        <w:pStyle w:val="NormalWeb"/>
        <w:spacing w:before="0" w:beforeAutospacing="0" w:after="200"/>
        <w:ind w:right="283"/>
        <w:jc w:val="center"/>
        <w:rPr>
          <w:b/>
          <w:bCs/>
          <w:caps/>
          <w:color w:val="010000"/>
          <w:szCs w:val="30"/>
        </w:rPr>
      </w:pPr>
      <w:r w:rsidRPr="00E14FC5">
        <w:rPr>
          <w:b/>
          <w:bCs/>
          <w:caps/>
          <w:color w:val="010000"/>
          <w:szCs w:val="30"/>
        </w:rPr>
        <w:t xml:space="preserve"> </w:t>
      </w:r>
      <w:r w:rsidRPr="00E14FC5">
        <w:rPr>
          <w:b/>
          <w:bCs/>
          <w:caps/>
          <w:color w:val="010000"/>
          <w:szCs w:val="30"/>
        </w:rPr>
        <w:t>ANAYASA MAHKEMESİ KARARI</w:t>
      </w:r>
    </w:p>
    <w:p w:rsidR="00E14FC5" w:rsidRPr="00E14FC5" w:rsidRDefault="00E14FC5" w:rsidP="00E14FC5">
      <w:pPr>
        <w:pStyle w:val="NormalWeb"/>
        <w:spacing w:before="0" w:beforeAutospacing="0" w:after="200"/>
        <w:ind w:right="283" w:firstLine="709"/>
        <w:jc w:val="center"/>
        <w:rPr>
          <w:b/>
          <w:caps/>
          <w:color w:val="010000"/>
          <w:szCs w:val="30"/>
        </w:rPr>
      </w:pPr>
    </w:p>
    <w:p w:rsidR="00E14FC5" w:rsidRDefault="00E14FC5" w:rsidP="00E14FC5">
      <w:pPr>
        <w:pStyle w:val="NormalWeb"/>
        <w:spacing w:before="0" w:beforeAutospacing="0" w:after="0"/>
        <w:rPr>
          <w:b/>
          <w:bCs/>
          <w:color w:val="010000"/>
          <w:szCs w:val="22"/>
        </w:rPr>
      </w:pPr>
      <w:r>
        <w:rPr>
          <w:b/>
          <w:bCs/>
          <w:color w:val="010000"/>
          <w:szCs w:val="22"/>
        </w:rPr>
        <w:t>Esas Sayısı:2012/54 (Siyasi Parti Mali Denetimi)</w:t>
      </w:r>
    </w:p>
    <w:p w:rsidR="00E14FC5" w:rsidRDefault="00E14FC5" w:rsidP="00E14FC5">
      <w:pPr>
        <w:pStyle w:val="NormalWeb"/>
        <w:spacing w:before="0" w:beforeAutospacing="0" w:after="0"/>
        <w:rPr>
          <w:b/>
          <w:bCs/>
          <w:color w:val="010000"/>
          <w:szCs w:val="22"/>
        </w:rPr>
      </w:pPr>
      <w:r>
        <w:rPr>
          <w:b/>
          <w:bCs/>
          <w:color w:val="010000"/>
          <w:szCs w:val="22"/>
        </w:rPr>
        <w:t>Karar Sayısı:2014/10</w:t>
      </w:r>
    </w:p>
    <w:p w:rsidR="00E14FC5" w:rsidRDefault="00E14FC5" w:rsidP="00E14FC5">
      <w:pPr>
        <w:pStyle w:val="NormalWeb"/>
        <w:spacing w:before="0" w:beforeAutospacing="0" w:after="0"/>
        <w:rPr>
          <w:b/>
          <w:bCs/>
          <w:color w:val="010000"/>
          <w:szCs w:val="22"/>
        </w:rPr>
      </w:pPr>
      <w:r>
        <w:rPr>
          <w:b/>
          <w:bCs/>
          <w:color w:val="010000"/>
          <w:szCs w:val="22"/>
        </w:rPr>
        <w:t>Karar Günü:11.2.2014</w:t>
      </w:r>
    </w:p>
    <w:p w:rsidR="00E14FC5" w:rsidRDefault="00E14FC5" w:rsidP="00E14FC5">
      <w:pPr>
        <w:pStyle w:val="NormalWeb"/>
        <w:spacing w:before="0" w:beforeAutospacing="0" w:after="0"/>
        <w:rPr>
          <w:b/>
          <w:bCs/>
          <w:color w:val="010000"/>
          <w:szCs w:val="22"/>
        </w:rPr>
      </w:pPr>
      <w:r>
        <w:rPr>
          <w:b/>
          <w:bCs/>
          <w:color w:val="010000"/>
          <w:szCs w:val="22"/>
        </w:rPr>
        <w:t>R.G. Tarih-Sayı:02.04.2014-28960</w:t>
      </w:r>
    </w:p>
    <w:p w:rsidR="00E14FC5" w:rsidRPr="00E14FC5" w:rsidRDefault="00E14FC5" w:rsidP="00E14FC5">
      <w:pPr>
        <w:pStyle w:val="NormalWeb"/>
        <w:spacing w:before="0" w:beforeAutospacing="0" w:after="0"/>
        <w:rPr>
          <w:b/>
          <w:bCs/>
          <w:color w:val="010000"/>
          <w:szCs w:val="22"/>
        </w:rPr>
      </w:pP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I- MALİ DENETİMİN KONUSU</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Saadet Partisi 2011 yılı kesin hesabının incelenmesidir.</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II- İLK İNCELEME</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 xml:space="preserve">Anayasa Mahkemesi İçtüzüğü hükümleri uyarınca Haşim KILIÇ, </w:t>
      </w:r>
      <w:proofErr w:type="spellStart"/>
      <w:r w:rsidRPr="00E14FC5">
        <w:rPr>
          <w:color w:val="010000"/>
          <w:szCs w:val="19"/>
        </w:rPr>
        <w:t>Serruh</w:t>
      </w:r>
      <w:proofErr w:type="spellEnd"/>
      <w:r w:rsidRPr="00E14FC5">
        <w:rPr>
          <w:color w:val="010000"/>
          <w:szCs w:val="19"/>
        </w:rPr>
        <w:t xml:space="preserve"> KALELİ, Alparslan ALTAN, Mehmet ERTEN, Serdar ÖZGÜLDÜR, Osman </w:t>
      </w:r>
      <w:proofErr w:type="spellStart"/>
      <w:r w:rsidRPr="00E14FC5">
        <w:rPr>
          <w:color w:val="010000"/>
          <w:szCs w:val="19"/>
        </w:rPr>
        <w:t>Alifeyyaz</w:t>
      </w:r>
      <w:proofErr w:type="spellEnd"/>
      <w:r w:rsidRPr="00E14FC5">
        <w:rPr>
          <w:color w:val="010000"/>
          <w:szCs w:val="19"/>
        </w:rPr>
        <w:t xml:space="preserve"> PAKSÜT, Zehra Ayla PERKTAŞ, Recep KÖMÜRCÜ, Burhan ÜSTÜN, Engin YILDIRIM, Nuri NECİPOĞLU, Celal Mümtaz AKINCI, Erdal TERCAN, Muammer TOPAL ve Zühtü </w:t>
      </w:r>
      <w:proofErr w:type="spellStart"/>
      <w:r w:rsidRPr="00E14FC5">
        <w:rPr>
          <w:color w:val="010000"/>
          <w:szCs w:val="19"/>
        </w:rPr>
        <w:t>ARSLAN’ın</w:t>
      </w:r>
      <w:proofErr w:type="spellEnd"/>
      <w:r w:rsidRPr="00E14FC5">
        <w:rPr>
          <w:color w:val="010000"/>
          <w:szCs w:val="19"/>
        </w:rPr>
        <w:t xml:space="preserve"> katılımlarıyla 3.1.2013 gününde yapılan ilk inceleme toplantısında; </w:t>
      </w:r>
    </w:p>
    <w:p w:rsidR="00E14FC5" w:rsidRPr="00E14FC5" w:rsidRDefault="00E14FC5" w:rsidP="00E14FC5">
      <w:pPr>
        <w:pStyle w:val="NormalWeb"/>
        <w:spacing w:before="0" w:beforeAutospacing="0" w:after="200"/>
        <w:ind w:right="283" w:firstLine="709"/>
        <w:jc w:val="both"/>
        <w:rPr>
          <w:iCs/>
          <w:color w:val="010000"/>
          <w:szCs w:val="19"/>
        </w:rPr>
      </w:pPr>
      <w:r w:rsidRPr="00E14FC5">
        <w:rPr>
          <w:iCs/>
          <w:color w:val="010000"/>
          <w:szCs w:val="19"/>
        </w:rPr>
        <w:t>1- Dosyada eksiklik bulunmadığından işin esasının incelenmesine,</w:t>
      </w:r>
    </w:p>
    <w:p w:rsidR="00E14FC5" w:rsidRPr="00E14FC5" w:rsidRDefault="00E14FC5" w:rsidP="00E14FC5">
      <w:pPr>
        <w:pStyle w:val="NormalWeb"/>
        <w:spacing w:before="0" w:beforeAutospacing="0" w:after="200"/>
        <w:ind w:right="283" w:firstLine="709"/>
        <w:jc w:val="both"/>
        <w:rPr>
          <w:iCs/>
          <w:color w:val="010000"/>
          <w:szCs w:val="19"/>
        </w:rPr>
      </w:pPr>
      <w:r w:rsidRPr="00E14FC5">
        <w:rPr>
          <w:iCs/>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E14FC5" w:rsidRPr="00E14FC5" w:rsidRDefault="00E14FC5" w:rsidP="00E14FC5">
      <w:pPr>
        <w:pStyle w:val="NormalWeb"/>
        <w:spacing w:before="0" w:beforeAutospacing="0" w:after="200"/>
        <w:ind w:right="283" w:firstLine="709"/>
        <w:jc w:val="both"/>
        <w:rPr>
          <w:color w:val="010000"/>
          <w:szCs w:val="19"/>
        </w:rPr>
      </w:pPr>
      <w:r w:rsidRPr="00E14FC5">
        <w:rPr>
          <w:iCs/>
          <w:color w:val="010000"/>
          <w:szCs w:val="19"/>
        </w:rPr>
        <w:t>3- Partinin Genel Merkez kesin hesabı ile ekinde sunulan taşınmaz listesinde gösterdiği toplam 34.000 TL tutarındaki taşınmaz mal alımlarının, 2820 Sayılı Siyasi Partiler Kanunu’nun 68. maddesi kapsamında incelenmesine,</w:t>
      </w:r>
    </w:p>
    <w:p w:rsidR="00E14FC5" w:rsidRPr="00E14FC5" w:rsidRDefault="00E14FC5" w:rsidP="00E14FC5">
      <w:pPr>
        <w:pStyle w:val="NormalWeb"/>
        <w:spacing w:before="0" w:beforeAutospacing="0" w:after="200"/>
        <w:ind w:right="283" w:firstLine="709"/>
        <w:jc w:val="both"/>
        <w:rPr>
          <w:color w:val="010000"/>
          <w:szCs w:val="19"/>
        </w:rPr>
      </w:pPr>
      <w:r w:rsidRPr="00E14FC5">
        <w:rPr>
          <w:iCs/>
          <w:color w:val="010000"/>
          <w:szCs w:val="19"/>
        </w:rPr>
        <w:t>OYBİRLİĞİYLE</w:t>
      </w:r>
      <w:r w:rsidRPr="00E14FC5">
        <w:rPr>
          <w:i/>
          <w:iCs/>
          <w:color w:val="010000"/>
          <w:szCs w:val="19"/>
        </w:rPr>
        <w:t xml:space="preserve"> </w:t>
      </w:r>
      <w:r w:rsidRPr="00E14FC5">
        <w:rPr>
          <w:iCs/>
          <w:color w:val="010000"/>
          <w:szCs w:val="19"/>
        </w:rPr>
        <w:t>karar verilmiştir</w:t>
      </w:r>
      <w:r w:rsidRPr="00E14FC5">
        <w:rPr>
          <w:color w:val="010000"/>
          <w:szCs w:val="19"/>
        </w:rPr>
        <w:t>.</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III- ESASIN İNCELENMESİ</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Saadet Partisinin,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Denetimin maddi öğelerini oluşturan defter ve belgelerde Partinin 2011 yılı gelirlerinin 3.919.141,05 TL, geçen yıldan devreden gelir toplamının 81.018,64 TL; gelecek yıla devreden gider toplamının 178.548,92 TL, gider toplamının 3.834.248,05 TL, geçen yıldan devreden gider toplamının 221.460,68 TL olduğu, nakit mevcudu olarak ise 2012 yılına devredilen tutarın 118.999,88 TL olduğu anlaşılmaktadır.</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 xml:space="preserve">Partinin 2011 yılı kesin hesabının, Genel İdare Kurulunun 8.6.2012 günlü kararı ile kabul edilerek onaylandığı anlaşılmıştır. </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Partinin 2011 yılı kesin hesabının gelir ve gider rakamlarının yukarıda açıklanan tutarlardan oluştuğu, bu haliyle 2011 yılı kesin hesabının doğru, denk ve 2820 sayılı Kanun’a uygun olduğu sonucuna varılmıştır.</w:t>
      </w:r>
    </w:p>
    <w:p w:rsidR="00E14FC5" w:rsidRPr="00E14FC5" w:rsidRDefault="00E14FC5" w:rsidP="00E14FC5">
      <w:pPr>
        <w:pStyle w:val="NormalWeb"/>
        <w:spacing w:before="0" w:beforeAutospacing="0" w:after="200"/>
        <w:ind w:right="283" w:firstLine="709"/>
        <w:jc w:val="both"/>
        <w:rPr>
          <w:color w:val="010000"/>
          <w:szCs w:val="22"/>
        </w:rPr>
      </w:pPr>
      <w:r w:rsidRPr="00E14FC5">
        <w:rPr>
          <w:color w:val="010000"/>
          <w:szCs w:val="19"/>
        </w:rPr>
        <w:lastRenderedPageBreak/>
        <w:t xml:space="preserve"> </w:t>
      </w:r>
      <w:r w:rsidRPr="00E14FC5">
        <w:rPr>
          <w:b/>
          <w:bCs/>
          <w:color w:val="010000"/>
          <w:szCs w:val="22"/>
        </w:rPr>
        <w:t>A-</w:t>
      </w:r>
      <w:r w:rsidRPr="00E14FC5">
        <w:rPr>
          <w:color w:val="010000"/>
          <w:szCs w:val="22"/>
        </w:rPr>
        <w:t xml:space="preserve"> </w:t>
      </w:r>
      <w:r w:rsidRPr="00E14FC5">
        <w:rPr>
          <w:b/>
          <w:bCs/>
          <w:color w:val="010000"/>
          <w:szCs w:val="22"/>
        </w:rPr>
        <w:t>Gelirlerin İncelenmesi</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1- Genel Merkez Gelirleri</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Partinin Genel Merkez gelirleri 1.986.901,40 TL olarak gösterilmiş olup bunun;</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 xml:space="preserve">136.979.56 TL’si giriş aidatları ve üyelik aidat gelirlerinden, 274.660,00 TL’si milletvekili ve belediye bakanlığı adaylığı özel aidat gelirlerinden, 51.331,00 TL’si parti mal varlığı gelirlerinden, 1.523.879,10 TL’si bağış ve yardımlardan, 51,74 TL’si sair gelirlerden oluşmaktadır. </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 Genel Merkezinin defter kayıtları ve gelir belgeleri üzerinde yapılan incelemede, gelirlerin 2820 sayılı Kanun’a uygun olarak sağlandığı sonucuna varılmıştır.</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2- İl Örgütleri Gelirleri</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 xml:space="preserve">Saadet Partisinin il örgütlerinin 2011 yılı gelirleri toplamı 1.932.239,65 TL olup bunun; </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592.710,24 TL’si giriş aidatları ve üyelik aidat gelirlerinden, 9.000,00 TL’si milletvekili ve belediye bakanlığı adaylığı özel aidat gelirlerinden, 1.950,00 TL’si bayrak, flama, rozet satış gelirlerinden, 1.274.506,69 TL’si bağış ve yardımlardan, 2.500, 00 TL’si konser, konferans, sergi faaliyet gelirlerinden, 44.737,72 TL’si sair gelirlerden, 6.835,00 TL’si teşkilattan alınan nakitten oluşmaktadır.</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 il örgütlerinin defter kayıtları ve gelir belgeleri üzerinde yapılan incelemede, gelirlerin 2820 sayılı Kanun’a uygun olarak sağlandığı sonucuna varılmıştır.</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B- Giderlerin İncelenmesi</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1- Genel Merkez Giderleri</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Partinin Genel Merkez giderleri toplamı 1.944.571,38 TL olup bunun;</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383.073,2 TL’si büro genel giderlerinden, 339.880,57 TL’si personel giderlerinden, 60.783,45 TL’si ulaşım giderlerinden, 985.282,54 TL’si seçim ve propaganda giderlerinden, 133.055,00 TL’si konferans, sergi vb. giderlerinden, 8.496,00 TL’si basın yayın giderlerinden, 34.000,00 TL’si demirbaş eşya alım giderlerinden oluşmaktadır. Geçen yıldan devreden gider farkı ise 179.955,28 TL’dir.</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 Genel Merkezinin defter kayıtları ve gider belgeleri üzerinde yapılan incelemede, giderlerin 2820 Sayılı Kanun’a uygun olarak gerçekleştirildiği sonucuna varılmıştır.</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2- İl Örgütleri Giderleri</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Partinin il örgütleri giderleri toplamı 1.889.676,67 TL olup bunun;</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1.288.900,78 TL’si büro genel giderlerinden, 135.243,44 TL’si personel giderlerinden, 42.908,50 TL’si ulaşım giderlerinden, 14.453,15 TL’si bayrak, flama, rozet vb. giderlerden, 135.223,67 TL’si seçim ve propaganda giderlerinden, 112.082,51 TL’si konferans, sergi vb. giderlerinden, 66.431,10 TL’si basın yayın giderlerinden, 15.249,00 TL’si demirbaş eşya alım giderlerinden, 132.349,52 TL’si sair giderlerden, 6.835,00 TL’si teşkilata verilen nakitten oluşmaktadır. Geçen yıldan devreden gider farkı ise 41.505,40 TL, gelir farkı ise 118.999,88 TL’dir.</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 il örgütlerinin 2011 yılı kesin hesap çizelgelerinin gider bölümü üzerinde yapılan incelemede, giderlerin 2820 sayılı Kanun’a uygun olarak gerçekleştirildiği sonucuna varılmıştır.</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lastRenderedPageBreak/>
        <w:t>C- Parti Malları</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Partinin 2011 yılı defter ve belgeleri üzerinde yapılan incelemede, 34.000 TL değerinde bir taşınmaz mal edinimi olduğu görülmüştür. Yapılan incelemede söz konusu taşınmaz ediniminin 2820 sayılı Kanun’a uygun olarak gerçekleştirildiği sonucuna varılmıştır.</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Ayrıca, Partinin 2011 yılı defter ve belgeleri üzerinde yapılan incelemede, Parti Genel Merkezinin 2011 yılı içerisinde edindiği toplam 15.249,00 TL taşınır malın 2820 sayılı Kanun’a uygun olarak gerçekleştirildiği sonucuna ulaşılmıştır.</w:t>
      </w:r>
    </w:p>
    <w:p w:rsidR="00E14FC5" w:rsidRPr="00E14FC5" w:rsidRDefault="00E14FC5" w:rsidP="00E14FC5">
      <w:pPr>
        <w:pStyle w:val="NormalWeb"/>
        <w:spacing w:before="0" w:beforeAutospacing="0" w:after="200"/>
        <w:ind w:right="283" w:firstLine="709"/>
        <w:jc w:val="both"/>
        <w:rPr>
          <w:color w:val="010000"/>
          <w:szCs w:val="22"/>
        </w:rPr>
      </w:pPr>
      <w:r w:rsidRPr="00E14FC5">
        <w:rPr>
          <w:b/>
          <w:bCs/>
          <w:color w:val="010000"/>
          <w:szCs w:val="22"/>
        </w:rPr>
        <w:t>IV- SONUÇ</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Saadet Partisinin 2011 yılı kesin hesabının incelenmesi sonucunda;</w:t>
      </w:r>
    </w:p>
    <w:p w:rsidR="00E14FC5" w:rsidRPr="00E14FC5" w:rsidRDefault="00E14FC5" w:rsidP="00E14FC5">
      <w:pPr>
        <w:pStyle w:val="NormalWeb"/>
        <w:spacing w:before="0" w:beforeAutospacing="0" w:after="200"/>
        <w:ind w:right="283" w:firstLine="709"/>
        <w:jc w:val="both"/>
        <w:rPr>
          <w:color w:val="010000"/>
          <w:szCs w:val="19"/>
        </w:rPr>
      </w:pPr>
      <w:r w:rsidRPr="00E14FC5">
        <w:rPr>
          <w:color w:val="010000"/>
          <w:szCs w:val="19"/>
        </w:rPr>
        <w:t>Partinin 2011 yılı kesin hesabında gösterilen 3.919.141,05 TL gelir ve 3.834.248,05 TL giderin eldeki bilgi ve belgelere göre doğru, denk ve 2820 sayılı Siyasi Partiler Kanunu’na uygun olduğuna, 11.2.2014 gününde OYBİRLİĞİYLE karar verildi.</w:t>
      </w:r>
    </w:p>
    <w:p w:rsidR="00E14FC5" w:rsidRDefault="00E14FC5">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325"/>
        <w:gridCol w:w="3476"/>
        <w:gridCol w:w="2979"/>
      </w:tblGrid>
      <w:tr w:rsidR="00E14FC5" w:rsidRPr="00E14FC5" w:rsidTr="00E14FC5">
        <w:trPr>
          <w:jc w:val="center"/>
        </w:trPr>
        <w:tc>
          <w:tcPr>
            <w:tcW w:w="1700" w:type="pct"/>
          </w:tcPr>
          <w:p w:rsidR="00E14FC5" w:rsidRPr="00E14FC5" w:rsidRDefault="00E14FC5" w:rsidP="00E14FC5">
            <w:pPr>
              <w:spacing w:before="240" w:after="240"/>
              <w:jc w:val="center"/>
              <w:rPr>
                <w:color w:val="010000"/>
                <w:szCs w:val="19"/>
              </w:rPr>
            </w:pPr>
            <w:r w:rsidRPr="00E14FC5">
              <w:rPr>
                <w:color w:val="010000"/>
                <w:szCs w:val="19"/>
              </w:rPr>
              <w:t>Başkan</w:t>
            </w:r>
          </w:p>
          <w:p w:rsidR="00E14FC5" w:rsidRPr="00E14FC5" w:rsidRDefault="00E14FC5" w:rsidP="00E14FC5">
            <w:pPr>
              <w:spacing w:before="240" w:after="240"/>
              <w:jc w:val="center"/>
              <w:rPr>
                <w:color w:val="010000"/>
                <w:szCs w:val="19"/>
              </w:rPr>
            </w:pPr>
            <w:r w:rsidRPr="00E14FC5">
              <w:rPr>
                <w:color w:val="010000"/>
                <w:szCs w:val="19"/>
              </w:rPr>
              <w:t>Haşim KILIÇ</w:t>
            </w:r>
          </w:p>
        </w:tc>
        <w:tc>
          <w:tcPr>
            <w:tcW w:w="1777" w:type="pct"/>
          </w:tcPr>
          <w:p w:rsidR="00E14FC5" w:rsidRPr="00E14FC5" w:rsidRDefault="00E14FC5" w:rsidP="00E14FC5">
            <w:pPr>
              <w:spacing w:before="240" w:after="240"/>
              <w:jc w:val="center"/>
              <w:rPr>
                <w:color w:val="010000"/>
                <w:szCs w:val="19"/>
              </w:rPr>
            </w:pPr>
            <w:r w:rsidRPr="00E14FC5">
              <w:rPr>
                <w:color w:val="010000"/>
                <w:szCs w:val="19"/>
              </w:rPr>
              <w:t>Başkanvekili</w:t>
            </w:r>
          </w:p>
          <w:p w:rsidR="00E14FC5" w:rsidRPr="00E14FC5" w:rsidRDefault="00E14FC5" w:rsidP="00E14FC5">
            <w:pPr>
              <w:spacing w:before="240" w:after="240"/>
              <w:jc w:val="center"/>
              <w:rPr>
                <w:color w:val="010000"/>
                <w:szCs w:val="19"/>
              </w:rPr>
            </w:pPr>
            <w:proofErr w:type="spellStart"/>
            <w:r w:rsidRPr="00E14FC5">
              <w:rPr>
                <w:color w:val="010000"/>
                <w:szCs w:val="19"/>
              </w:rPr>
              <w:t>Serruh</w:t>
            </w:r>
            <w:proofErr w:type="spellEnd"/>
            <w:r w:rsidRPr="00E14FC5">
              <w:rPr>
                <w:color w:val="010000"/>
                <w:szCs w:val="19"/>
              </w:rPr>
              <w:t xml:space="preserve"> KALELİ</w:t>
            </w:r>
          </w:p>
        </w:tc>
        <w:tc>
          <w:tcPr>
            <w:tcW w:w="1523" w:type="pct"/>
          </w:tcPr>
          <w:p w:rsidR="00E14FC5" w:rsidRPr="00E14FC5" w:rsidRDefault="00E14FC5" w:rsidP="00E14FC5">
            <w:pPr>
              <w:spacing w:before="240" w:after="240"/>
              <w:jc w:val="center"/>
              <w:rPr>
                <w:color w:val="010000"/>
                <w:szCs w:val="19"/>
              </w:rPr>
            </w:pPr>
            <w:r w:rsidRPr="00E14FC5">
              <w:rPr>
                <w:color w:val="010000"/>
                <w:szCs w:val="19"/>
              </w:rPr>
              <w:t>Başkanvekili</w:t>
            </w:r>
          </w:p>
          <w:p w:rsidR="00E14FC5" w:rsidRPr="00E14FC5" w:rsidRDefault="00E14FC5" w:rsidP="00E14FC5">
            <w:pPr>
              <w:spacing w:before="240" w:after="240"/>
              <w:jc w:val="center"/>
              <w:rPr>
                <w:color w:val="010000"/>
                <w:szCs w:val="19"/>
              </w:rPr>
            </w:pPr>
            <w:r w:rsidRPr="00E14FC5">
              <w:rPr>
                <w:color w:val="010000"/>
                <w:szCs w:val="19"/>
              </w:rPr>
              <w:t>Alparslan ALTAN</w:t>
            </w:r>
          </w:p>
        </w:tc>
      </w:tr>
      <w:tr w:rsidR="00E14FC5" w:rsidRPr="00E14FC5" w:rsidTr="00E14FC5">
        <w:tblPrEx>
          <w:tblCellMar>
            <w:left w:w="108" w:type="dxa"/>
            <w:right w:w="108" w:type="dxa"/>
          </w:tblCellMar>
          <w:tblLook w:val="01E0" w:firstRow="1" w:lastRow="1" w:firstColumn="1" w:lastColumn="1" w:noHBand="0" w:noVBand="0"/>
        </w:tblPrEx>
        <w:trPr>
          <w:jc w:val="center"/>
        </w:trPr>
        <w:tc>
          <w:tcPr>
            <w:tcW w:w="1700" w:type="pct"/>
          </w:tcPr>
          <w:p w:rsidR="00E14FC5" w:rsidRPr="00E14FC5" w:rsidRDefault="00E14FC5" w:rsidP="00E14FC5">
            <w:pPr>
              <w:overflowPunct w:val="0"/>
              <w:autoSpaceDE w:val="0"/>
              <w:autoSpaceDN w:val="0"/>
              <w:adjustRightInd w:val="0"/>
              <w:spacing w:before="240" w:after="240"/>
              <w:jc w:val="center"/>
              <w:rPr>
                <w:color w:val="010000"/>
                <w:szCs w:val="19"/>
              </w:rPr>
            </w:pPr>
            <w:r w:rsidRPr="00E14FC5">
              <w:rPr>
                <w:color w:val="010000"/>
                <w:szCs w:val="19"/>
              </w:rPr>
              <w:t>Üye</w:t>
            </w:r>
          </w:p>
          <w:p w:rsidR="00E14FC5" w:rsidRPr="00E14FC5" w:rsidRDefault="00E14FC5" w:rsidP="00E14FC5">
            <w:pPr>
              <w:overflowPunct w:val="0"/>
              <w:autoSpaceDE w:val="0"/>
              <w:autoSpaceDN w:val="0"/>
              <w:adjustRightInd w:val="0"/>
              <w:spacing w:before="240" w:after="240"/>
              <w:jc w:val="center"/>
              <w:rPr>
                <w:color w:val="010000"/>
                <w:szCs w:val="19"/>
              </w:rPr>
            </w:pPr>
            <w:r w:rsidRPr="00E14FC5">
              <w:rPr>
                <w:color w:val="010000"/>
                <w:szCs w:val="19"/>
              </w:rPr>
              <w:t>Serdar ÖZGÜLDÜR</w:t>
            </w:r>
          </w:p>
        </w:tc>
        <w:tc>
          <w:tcPr>
            <w:tcW w:w="1777" w:type="pct"/>
          </w:tcPr>
          <w:p w:rsidR="00E14FC5" w:rsidRPr="00E14FC5" w:rsidRDefault="00E14FC5" w:rsidP="00E14FC5">
            <w:pPr>
              <w:overflowPunct w:val="0"/>
              <w:autoSpaceDE w:val="0"/>
              <w:autoSpaceDN w:val="0"/>
              <w:adjustRightInd w:val="0"/>
              <w:spacing w:before="240" w:after="240"/>
              <w:jc w:val="center"/>
              <w:rPr>
                <w:color w:val="010000"/>
                <w:szCs w:val="19"/>
              </w:rPr>
            </w:pPr>
            <w:r w:rsidRPr="00E14FC5">
              <w:rPr>
                <w:color w:val="010000"/>
                <w:szCs w:val="19"/>
              </w:rPr>
              <w:t>Üye</w:t>
            </w:r>
          </w:p>
          <w:p w:rsidR="00E14FC5" w:rsidRPr="00E14FC5" w:rsidRDefault="00E14FC5" w:rsidP="00E14FC5">
            <w:pPr>
              <w:overflowPunct w:val="0"/>
              <w:autoSpaceDE w:val="0"/>
              <w:autoSpaceDN w:val="0"/>
              <w:adjustRightInd w:val="0"/>
              <w:spacing w:before="240" w:after="240"/>
              <w:jc w:val="center"/>
              <w:rPr>
                <w:color w:val="010000"/>
                <w:szCs w:val="19"/>
              </w:rPr>
            </w:pPr>
            <w:r w:rsidRPr="00E14FC5">
              <w:rPr>
                <w:color w:val="010000"/>
                <w:szCs w:val="19"/>
              </w:rPr>
              <w:t xml:space="preserve">Osman </w:t>
            </w:r>
            <w:proofErr w:type="spellStart"/>
            <w:r w:rsidRPr="00E14FC5">
              <w:rPr>
                <w:color w:val="010000"/>
                <w:szCs w:val="19"/>
              </w:rPr>
              <w:t>Alifeyyaz</w:t>
            </w:r>
            <w:proofErr w:type="spellEnd"/>
            <w:r w:rsidRPr="00E14FC5">
              <w:rPr>
                <w:color w:val="010000"/>
                <w:szCs w:val="19"/>
              </w:rPr>
              <w:t xml:space="preserve"> PAKSÜT</w:t>
            </w:r>
          </w:p>
        </w:tc>
        <w:tc>
          <w:tcPr>
            <w:tcW w:w="1523" w:type="pct"/>
          </w:tcPr>
          <w:p w:rsidR="00E14FC5" w:rsidRPr="00E14FC5" w:rsidRDefault="00E14FC5" w:rsidP="00E14FC5">
            <w:pPr>
              <w:overflowPunct w:val="0"/>
              <w:autoSpaceDE w:val="0"/>
              <w:autoSpaceDN w:val="0"/>
              <w:adjustRightInd w:val="0"/>
              <w:spacing w:before="240" w:after="240"/>
              <w:jc w:val="center"/>
              <w:rPr>
                <w:color w:val="010000"/>
                <w:szCs w:val="19"/>
              </w:rPr>
            </w:pPr>
            <w:r w:rsidRPr="00E14FC5">
              <w:rPr>
                <w:color w:val="010000"/>
                <w:szCs w:val="19"/>
              </w:rPr>
              <w:t>Üye</w:t>
            </w:r>
          </w:p>
          <w:p w:rsidR="00E14FC5" w:rsidRPr="00E14FC5" w:rsidRDefault="00E14FC5" w:rsidP="00E14FC5">
            <w:pPr>
              <w:overflowPunct w:val="0"/>
              <w:autoSpaceDE w:val="0"/>
              <w:autoSpaceDN w:val="0"/>
              <w:adjustRightInd w:val="0"/>
              <w:spacing w:before="240" w:after="240"/>
              <w:jc w:val="center"/>
              <w:rPr>
                <w:color w:val="010000"/>
                <w:szCs w:val="19"/>
              </w:rPr>
            </w:pPr>
            <w:r w:rsidRPr="00E14FC5">
              <w:rPr>
                <w:color w:val="010000"/>
                <w:szCs w:val="19"/>
              </w:rPr>
              <w:t>Zehra Ayla PERKTAŞ</w:t>
            </w:r>
          </w:p>
        </w:tc>
      </w:tr>
      <w:tr w:rsidR="00E14FC5" w:rsidRPr="00E14FC5" w:rsidTr="00E14FC5">
        <w:trPr>
          <w:jc w:val="center"/>
        </w:trPr>
        <w:tc>
          <w:tcPr>
            <w:tcW w:w="1700"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Recep KÖMÜRCÜ</w:t>
            </w:r>
          </w:p>
        </w:tc>
        <w:tc>
          <w:tcPr>
            <w:tcW w:w="1777"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Burhan ÜSTÜN</w:t>
            </w:r>
          </w:p>
        </w:tc>
        <w:tc>
          <w:tcPr>
            <w:tcW w:w="1523"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Engin YILDIRIM</w:t>
            </w:r>
          </w:p>
        </w:tc>
      </w:tr>
      <w:tr w:rsidR="00E14FC5" w:rsidRPr="00E14FC5" w:rsidTr="00E14FC5">
        <w:trPr>
          <w:jc w:val="center"/>
        </w:trPr>
        <w:tc>
          <w:tcPr>
            <w:tcW w:w="1700"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Nuri NECİPOĞLU</w:t>
            </w:r>
          </w:p>
        </w:tc>
        <w:tc>
          <w:tcPr>
            <w:tcW w:w="1777"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Celal Mümtaz AKINCI</w:t>
            </w:r>
          </w:p>
        </w:tc>
        <w:tc>
          <w:tcPr>
            <w:tcW w:w="1523"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Erdal TERCAN</w:t>
            </w:r>
          </w:p>
        </w:tc>
      </w:tr>
      <w:tr w:rsidR="00E14FC5" w:rsidRPr="00E14FC5" w:rsidTr="00E14FC5">
        <w:trPr>
          <w:jc w:val="center"/>
        </w:trPr>
        <w:tc>
          <w:tcPr>
            <w:tcW w:w="1700"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Muammer TOPAL</w:t>
            </w:r>
          </w:p>
        </w:tc>
        <w:tc>
          <w:tcPr>
            <w:tcW w:w="1777"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Zühtü ARSLAN</w:t>
            </w:r>
          </w:p>
        </w:tc>
        <w:tc>
          <w:tcPr>
            <w:tcW w:w="1523" w:type="pct"/>
          </w:tcPr>
          <w:p w:rsidR="00E14FC5" w:rsidRPr="00E14FC5" w:rsidRDefault="00E14FC5" w:rsidP="00E14FC5">
            <w:pPr>
              <w:spacing w:before="240" w:after="240"/>
              <w:jc w:val="center"/>
              <w:rPr>
                <w:color w:val="010000"/>
                <w:szCs w:val="19"/>
              </w:rPr>
            </w:pPr>
            <w:r w:rsidRPr="00E14FC5">
              <w:rPr>
                <w:color w:val="010000"/>
                <w:szCs w:val="19"/>
              </w:rPr>
              <w:t>Üye</w:t>
            </w:r>
          </w:p>
          <w:p w:rsidR="00E14FC5" w:rsidRPr="00E14FC5" w:rsidRDefault="00E14FC5" w:rsidP="00E14FC5">
            <w:pPr>
              <w:spacing w:before="240" w:after="240"/>
              <w:jc w:val="center"/>
              <w:rPr>
                <w:color w:val="010000"/>
                <w:szCs w:val="19"/>
              </w:rPr>
            </w:pPr>
            <w:r w:rsidRPr="00E14FC5">
              <w:rPr>
                <w:color w:val="010000"/>
                <w:szCs w:val="19"/>
              </w:rPr>
              <w:t>M. Emin KUZ</w:t>
            </w:r>
          </w:p>
        </w:tc>
      </w:tr>
    </w:tbl>
    <w:p w:rsidR="00E14FC5" w:rsidRPr="00E14FC5" w:rsidRDefault="00E14FC5" w:rsidP="00E14FC5">
      <w:pPr>
        <w:spacing w:after="200"/>
        <w:ind w:right="283" w:firstLine="709"/>
        <w:jc w:val="both"/>
        <w:rPr>
          <w:color w:val="010000"/>
          <w:szCs w:val="19"/>
        </w:rPr>
      </w:pPr>
    </w:p>
    <w:sectPr w:rsidR="00E14FC5" w:rsidRPr="00E14FC5" w:rsidSect="00E14FC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245" w:rsidRDefault="00746245" w:rsidP="00E14FC5">
      <w:r>
        <w:separator/>
      </w:r>
    </w:p>
  </w:endnote>
  <w:endnote w:type="continuationSeparator" w:id="0">
    <w:p w:rsidR="00746245" w:rsidRDefault="00746245" w:rsidP="00E1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77A" w:rsidRDefault="00746245" w:rsidP="00E14FC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D077A" w:rsidRDefault="00746245" w:rsidP="00E14FC5">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77A" w:rsidRPr="00E14FC5" w:rsidRDefault="00746245" w:rsidP="00E14FC5">
    <w:pPr>
      <w:pStyle w:val="a"/>
      <w:framePr w:wrap="around" w:vAnchor="text" w:hAnchor="margin" w:xAlign="right" w:y="1"/>
      <w:rPr>
        <w:rStyle w:val="SayfaNumaras"/>
      </w:rPr>
    </w:pPr>
    <w:r w:rsidRPr="00E14FC5">
      <w:rPr>
        <w:rStyle w:val="SayfaNumaras"/>
      </w:rPr>
      <w:fldChar w:fldCharType="begin"/>
    </w:r>
    <w:r w:rsidRPr="00E14FC5">
      <w:rPr>
        <w:rStyle w:val="SayfaNumaras"/>
      </w:rPr>
      <w:instrText xml:space="preserve">PAGE  </w:instrText>
    </w:r>
    <w:r w:rsidRPr="00E14FC5">
      <w:rPr>
        <w:rStyle w:val="SayfaNumaras"/>
      </w:rPr>
      <w:fldChar w:fldCharType="separate"/>
    </w:r>
    <w:r w:rsidRPr="00E14FC5">
      <w:rPr>
        <w:rStyle w:val="SayfaNumaras"/>
        <w:noProof/>
      </w:rPr>
      <w:t>4</w:t>
    </w:r>
    <w:r w:rsidRPr="00E14FC5">
      <w:rPr>
        <w:rStyle w:val="SayfaNumaras"/>
      </w:rPr>
      <w:fldChar w:fldCharType="end"/>
    </w:r>
  </w:p>
  <w:p w:rsidR="002D077A" w:rsidRDefault="00746245" w:rsidP="00E14FC5">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245" w:rsidRDefault="00746245" w:rsidP="00E14FC5">
      <w:r>
        <w:separator/>
      </w:r>
    </w:p>
  </w:footnote>
  <w:footnote w:type="continuationSeparator" w:id="0">
    <w:p w:rsidR="00746245" w:rsidRDefault="00746245" w:rsidP="00E1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FC5" w:rsidRPr="00E14FC5" w:rsidRDefault="00E14FC5" w:rsidP="00E14FC5">
    <w:pPr>
      <w:pStyle w:val="stBilgi"/>
      <w:rPr>
        <w:b/>
      </w:rPr>
    </w:pPr>
    <w:r w:rsidRPr="00E14FC5">
      <w:rPr>
        <w:b/>
      </w:rPr>
      <w:t>Esas Sayısı:2012/54 (Siyasi Parti Mali Denetimi)</w:t>
    </w:r>
  </w:p>
  <w:p w:rsidR="00E14FC5" w:rsidRDefault="00E14FC5" w:rsidP="00E14FC5">
    <w:pPr>
      <w:pStyle w:val="stBilgi"/>
      <w:rPr>
        <w:b/>
      </w:rPr>
    </w:pPr>
    <w:r>
      <w:rPr>
        <w:b/>
      </w:rPr>
      <w:t>Karar Sayısı:2014/10</w:t>
    </w:r>
  </w:p>
  <w:p w:rsidR="002D077A" w:rsidRPr="00E14FC5" w:rsidRDefault="00746245" w:rsidP="00E14FC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C5"/>
    <w:rsid w:val="00746245"/>
    <w:rsid w:val="00D12EB3"/>
    <w:rsid w:val="00E14F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D6DFA-0B62-4476-AF35-11143298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14FC5"/>
    <w:pPr>
      <w:spacing w:before="100" w:beforeAutospacing="1" w:after="119"/>
    </w:pPr>
  </w:style>
  <w:style w:type="paragraph" w:styleId="a">
    <w:basedOn w:val="Normal"/>
    <w:next w:val="stBilgi"/>
    <w:rsid w:val="00E14FC5"/>
    <w:pPr>
      <w:tabs>
        <w:tab w:val="center" w:pos="4536"/>
        <w:tab w:val="right" w:pos="9072"/>
      </w:tabs>
    </w:pPr>
  </w:style>
  <w:style w:type="character" w:styleId="SayfaNumaras">
    <w:name w:val="page number"/>
    <w:basedOn w:val="VarsaylanParagrafYazTipi"/>
    <w:rsid w:val="00E14FC5"/>
  </w:style>
  <w:style w:type="paragraph" w:styleId="stBilgi">
    <w:name w:val="header"/>
    <w:basedOn w:val="Normal"/>
    <w:link w:val="stBilgiChar"/>
    <w:uiPriority w:val="99"/>
    <w:unhideWhenUsed/>
    <w:rsid w:val="00E14FC5"/>
    <w:pPr>
      <w:tabs>
        <w:tab w:val="center" w:pos="4536"/>
        <w:tab w:val="right" w:pos="9072"/>
      </w:tabs>
    </w:pPr>
  </w:style>
  <w:style w:type="character" w:customStyle="1" w:styleId="stBilgiChar">
    <w:name w:val="Üst Bilgi Char"/>
    <w:basedOn w:val="VarsaylanParagrafYazTipi"/>
    <w:link w:val="stBilgi"/>
    <w:uiPriority w:val="99"/>
    <w:rsid w:val="00E14FC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14FC5"/>
    <w:pPr>
      <w:tabs>
        <w:tab w:val="center" w:pos="4536"/>
        <w:tab w:val="right" w:pos="9072"/>
      </w:tabs>
    </w:pPr>
  </w:style>
  <w:style w:type="character" w:customStyle="1" w:styleId="AltBilgiChar">
    <w:name w:val="Alt Bilgi Char"/>
    <w:basedOn w:val="VarsaylanParagrafYazTipi"/>
    <w:link w:val="AltBilgi"/>
    <w:uiPriority w:val="99"/>
    <w:rsid w:val="00E14FC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2020-06-15T07:43:00Z</dcterms:created>
  <dcterms:modified xsi:type="dcterms:W3CDTF">2020-06-15T07:43:00Z</dcterms:modified>
</cp:coreProperties>
</file>