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DE17B1" w:rsidRDefault="00DE17B1" w:rsidP="00DE17B1">
      <w:pPr>
        <w:spacing w:after="200"/>
        <w:ind w:right="283"/>
        <w:jc w:val="center"/>
        <w:rPr>
          <w:b/>
          <w:bCs/>
          <w:caps/>
          <w:color w:val="010000"/>
          <w:szCs w:val="26"/>
        </w:rPr>
      </w:pPr>
      <w:r w:rsidRPr="00DE17B1">
        <w:rPr>
          <w:b/>
          <w:caps/>
          <w:color w:val="010000"/>
          <w:szCs w:val="20"/>
        </w:rPr>
        <w:pict/>
      </w:r>
      <w:r w:rsidRPr="00DE17B1">
        <w:rPr>
          <w:b/>
          <w:caps/>
          <w:color w:val="010000"/>
          <w:szCs w:val="20"/>
        </w:rPr>
        <w:pict/>
      </w:r>
      <w:r w:rsidRPr="00DE17B1">
        <w:rPr>
          <w:b/>
          <w:caps/>
          <w:color w:val="010000"/>
          <w:szCs w:val="20"/>
        </w:rPr>
        <w:pict/>
      </w:r>
      <w:r w:rsidRPr="00DE17B1">
        <w:rPr>
          <w:b/>
          <w:bCs/>
          <w:caps/>
          <w:color w:val="010000"/>
          <w:szCs w:val="26"/>
        </w:rPr>
        <w:t>ANAYASA MAHKEMESİ KARARI</w:t>
      </w:r>
    </w:p>
    <w:p w:rsidR="00DE17B1" w:rsidRPr="00DE17B1" w:rsidRDefault="00DE17B1" w:rsidP="00DE17B1">
      <w:pPr>
        <w:spacing w:after="200"/>
        <w:ind w:right="283" w:firstLine="709"/>
        <w:jc w:val="center"/>
        <w:rPr>
          <w:b/>
          <w:caps/>
          <w:color w:val="010000"/>
        </w:rPr>
      </w:pPr>
    </w:p>
    <w:p w:rsidR="00DE17B1" w:rsidRDefault="00DE17B1" w:rsidP="00DE17B1">
      <w:pPr>
        <w:rPr>
          <w:b/>
          <w:bCs/>
          <w:color w:val="010000"/>
          <w:szCs w:val="26"/>
        </w:rPr>
      </w:pPr>
      <w:r>
        <w:rPr>
          <w:b/>
          <w:bCs/>
          <w:color w:val="010000"/>
          <w:szCs w:val="26"/>
        </w:rPr>
        <w:t>Esas Sayısı:2012/55 (Siyasi Parti Mali Denetimi)</w:t>
      </w:r>
    </w:p>
    <w:p w:rsidR="00DE17B1" w:rsidRDefault="00DE17B1" w:rsidP="00DE17B1">
      <w:pPr>
        <w:rPr>
          <w:b/>
          <w:color w:val="010000"/>
        </w:rPr>
      </w:pPr>
      <w:r>
        <w:rPr>
          <w:b/>
          <w:color w:val="010000"/>
        </w:rPr>
        <w:t>Karar Sayısı:2013/73</w:t>
      </w:r>
    </w:p>
    <w:p w:rsidR="00DE17B1" w:rsidRDefault="00DE17B1" w:rsidP="00DE17B1">
      <w:pPr>
        <w:rPr>
          <w:b/>
          <w:color w:val="010000"/>
        </w:rPr>
      </w:pPr>
      <w:r>
        <w:rPr>
          <w:b/>
          <w:color w:val="010000"/>
        </w:rPr>
        <w:t>Karar Günü:2.5.2013</w:t>
      </w:r>
    </w:p>
    <w:p w:rsidR="00DE17B1" w:rsidRDefault="00DE17B1" w:rsidP="00DE17B1">
      <w:pPr>
        <w:rPr>
          <w:b/>
          <w:color w:val="010000"/>
        </w:rPr>
      </w:pPr>
      <w:r>
        <w:rPr>
          <w:b/>
          <w:color w:val="010000"/>
        </w:rPr>
        <w:t>R.G. Tarih-Sayı:29.06.2013-28692</w:t>
      </w:r>
    </w:p>
    <w:p w:rsidR="00DE17B1" w:rsidRPr="00DE17B1" w:rsidRDefault="00DE17B1" w:rsidP="00DE17B1">
      <w:pPr>
        <w:rPr>
          <w:b/>
          <w:color w:val="010000"/>
        </w:rPr>
      </w:pPr>
    </w:p>
    <w:p w:rsidR="00DE17B1" w:rsidRPr="00DE17B1" w:rsidRDefault="00DE17B1" w:rsidP="00DE17B1">
      <w:pPr>
        <w:spacing w:after="200"/>
        <w:ind w:right="283" w:firstLine="709"/>
        <w:jc w:val="both"/>
        <w:rPr>
          <w:color w:val="010000"/>
        </w:rPr>
      </w:pPr>
      <w:r w:rsidRPr="00DE17B1">
        <w:rPr>
          <w:b/>
          <w:bCs/>
          <w:color w:val="010000"/>
          <w:szCs w:val="26"/>
        </w:rPr>
        <w:t>I- MALİ DENETİMİN KONUSU</w:t>
      </w:r>
    </w:p>
    <w:p w:rsidR="00DE17B1" w:rsidRPr="00DE17B1" w:rsidRDefault="00DE17B1" w:rsidP="00DE17B1">
      <w:pPr>
        <w:spacing w:after="200"/>
        <w:ind w:right="283" w:firstLine="709"/>
        <w:jc w:val="both"/>
        <w:rPr>
          <w:color w:val="010000"/>
        </w:rPr>
      </w:pPr>
      <w:r w:rsidRPr="00DE17B1">
        <w:rPr>
          <w:color w:val="010000"/>
          <w:szCs w:val="26"/>
        </w:rPr>
        <w:t>Halkın Kurtuluş Partisinin 2011 yılı kesin hesabının incelenmesidir.</w:t>
      </w:r>
    </w:p>
    <w:p w:rsidR="00DE17B1" w:rsidRPr="00DE17B1" w:rsidRDefault="00DE17B1" w:rsidP="00DE17B1">
      <w:pPr>
        <w:spacing w:after="200"/>
        <w:ind w:right="283" w:firstLine="709"/>
        <w:jc w:val="both"/>
        <w:rPr>
          <w:color w:val="010000"/>
        </w:rPr>
      </w:pPr>
      <w:r w:rsidRPr="00DE17B1">
        <w:rPr>
          <w:b/>
          <w:bCs/>
          <w:color w:val="010000"/>
          <w:szCs w:val="26"/>
        </w:rPr>
        <w:t>II- İLK İNCELEME</w:t>
      </w:r>
    </w:p>
    <w:p w:rsidR="00DE17B1" w:rsidRPr="00DE17B1" w:rsidRDefault="00DE17B1" w:rsidP="00DE17B1">
      <w:pPr>
        <w:spacing w:after="200"/>
        <w:ind w:right="283" w:firstLine="709"/>
        <w:jc w:val="both"/>
        <w:rPr>
          <w:color w:val="010000"/>
        </w:rPr>
      </w:pPr>
      <w:r w:rsidRPr="00DE17B1">
        <w:rPr>
          <w:color w:val="010000"/>
          <w:szCs w:val="26"/>
        </w:rPr>
        <w:t xml:space="preserve">Anayasa Mahkemesi İçtüzüğü hükümleri uyarınca Haşim KILIÇ, </w:t>
      </w:r>
      <w:proofErr w:type="spellStart"/>
      <w:r w:rsidRPr="00DE17B1">
        <w:rPr>
          <w:color w:val="010000"/>
          <w:szCs w:val="26"/>
        </w:rPr>
        <w:t>Serruh</w:t>
      </w:r>
      <w:proofErr w:type="spellEnd"/>
      <w:r w:rsidRPr="00DE17B1">
        <w:rPr>
          <w:color w:val="010000"/>
          <w:szCs w:val="26"/>
        </w:rPr>
        <w:t xml:space="preserve"> KALELİ, Alparslan ALTAN, Mehmet ERTEN, Serdar ÖZGÜLDÜR, Osman </w:t>
      </w:r>
      <w:proofErr w:type="spellStart"/>
      <w:r w:rsidRPr="00DE17B1">
        <w:rPr>
          <w:color w:val="010000"/>
          <w:szCs w:val="26"/>
        </w:rPr>
        <w:t>Alifeyyaz</w:t>
      </w:r>
      <w:proofErr w:type="spellEnd"/>
      <w:r w:rsidRPr="00DE17B1">
        <w:rPr>
          <w:color w:val="010000"/>
          <w:szCs w:val="26"/>
        </w:rPr>
        <w:t xml:space="preserve"> PAKSÜT, Zehra Ayla PERKTAŞ, Recep KÖMÜRCÜ, Burhan ÜSTÜN, Engin YILDIRIM, Nuri NECİPOĞLU, Celal Mümtaz AKINCI, Erdal TERCAN, Muammer TOPAL ve Zühtü </w:t>
      </w:r>
      <w:proofErr w:type="spellStart"/>
      <w:r w:rsidRPr="00DE17B1">
        <w:rPr>
          <w:color w:val="010000"/>
          <w:szCs w:val="26"/>
        </w:rPr>
        <w:t>ARSLAN'ın</w:t>
      </w:r>
      <w:proofErr w:type="spellEnd"/>
      <w:r w:rsidRPr="00DE17B1">
        <w:rPr>
          <w:color w:val="010000"/>
          <w:szCs w:val="26"/>
        </w:rPr>
        <w:t xml:space="preserve"> katılımıyla 3.1.2013 gününde yapılan ilk inceleme toplantısında; </w:t>
      </w:r>
    </w:p>
    <w:p w:rsidR="00DE17B1" w:rsidRPr="00DE17B1" w:rsidRDefault="00DE17B1" w:rsidP="00DE17B1">
      <w:pPr>
        <w:spacing w:after="200"/>
        <w:ind w:right="283" w:firstLine="709"/>
        <w:jc w:val="both"/>
        <w:rPr>
          <w:color w:val="010000"/>
        </w:rPr>
      </w:pPr>
      <w:r w:rsidRPr="00DE17B1">
        <w:rPr>
          <w:color w:val="010000"/>
          <w:szCs w:val="26"/>
        </w:rPr>
        <w:t>1- Dosyada eksiklik bulunmadığından işin esasının incelenmesine,</w:t>
      </w:r>
    </w:p>
    <w:p w:rsidR="00DE17B1" w:rsidRPr="00DE17B1" w:rsidRDefault="00DE17B1" w:rsidP="00DE17B1">
      <w:pPr>
        <w:spacing w:after="200"/>
        <w:ind w:right="283" w:firstLine="709"/>
        <w:jc w:val="both"/>
        <w:rPr>
          <w:color w:val="010000"/>
        </w:rPr>
      </w:pPr>
      <w:r w:rsidRPr="00DE17B1">
        <w:rPr>
          <w:color w:val="010000"/>
          <w:szCs w:val="26"/>
        </w:rPr>
        <w:t>2- Genel Merkez kesin hesabının dayanağını oluşturan gelir-gider belgeleri ile bu belgelerin kaydedildiği defterlerin gönderilmesi için Partiye bu kararın tebliğinden itibaren 30 gün süre verilmesine,</w:t>
      </w:r>
    </w:p>
    <w:p w:rsidR="00DE17B1" w:rsidRPr="00DE17B1" w:rsidRDefault="00DE17B1" w:rsidP="00DE17B1">
      <w:pPr>
        <w:spacing w:after="200"/>
        <w:ind w:right="283" w:firstLine="709"/>
        <w:jc w:val="both"/>
        <w:rPr>
          <w:color w:val="010000"/>
        </w:rPr>
      </w:pPr>
      <w:r w:rsidRPr="00DE17B1">
        <w:rPr>
          <w:color w:val="010000"/>
          <w:szCs w:val="26"/>
        </w:rPr>
        <w:t>OYBİRLİĞİYLE karar verilmiştir.</w:t>
      </w:r>
    </w:p>
    <w:p w:rsidR="00DE17B1" w:rsidRPr="00DE17B1" w:rsidRDefault="00DE17B1" w:rsidP="00DE17B1">
      <w:pPr>
        <w:spacing w:after="200"/>
        <w:ind w:right="283" w:firstLine="709"/>
        <w:jc w:val="both"/>
        <w:rPr>
          <w:color w:val="010000"/>
        </w:rPr>
      </w:pPr>
      <w:r w:rsidRPr="00DE17B1">
        <w:rPr>
          <w:b/>
          <w:bCs/>
          <w:color w:val="010000"/>
          <w:szCs w:val="26"/>
        </w:rPr>
        <w:t>III- ESASIN İNCELENMESİ</w:t>
      </w:r>
    </w:p>
    <w:p w:rsidR="00DE17B1" w:rsidRPr="00DE17B1" w:rsidRDefault="00DE17B1" w:rsidP="00DE17B1">
      <w:pPr>
        <w:spacing w:after="200"/>
        <w:ind w:right="283" w:firstLine="709"/>
        <w:jc w:val="both"/>
        <w:rPr>
          <w:color w:val="010000"/>
        </w:rPr>
      </w:pPr>
      <w:r w:rsidRPr="00DE17B1">
        <w:rPr>
          <w:color w:val="010000"/>
          <w:szCs w:val="26"/>
        </w:rPr>
        <w:t>Halkın Kurtuluş Partisinin, Anayasa Mahkemesine verdiği 2011 yılı kesin hesap çizelgeleri ile dayanağını oluşturan defter ve belgeler üzerinde yapılan inceleme sonuçlarını içeren ve Raportör Selim ERDEM tarafından heyete sunulan esas inceleme raporu, Anayasa ve 6216 sayılı Anayasa Mahkemesinin Kuruluşu ve Yargılama Usulleri Hakkında Kanun ile 2820 sayılı Siyasi Partiler Kanunu'nun ilgili kuralları, bunların gerekçeleri ve diğer yasama belgeleri okunup incelendikten sonra gereği görüşülüp düşünüldü:</w:t>
      </w:r>
    </w:p>
    <w:p w:rsidR="00DE17B1" w:rsidRPr="00DE17B1" w:rsidRDefault="00DE17B1" w:rsidP="00DE17B1">
      <w:pPr>
        <w:spacing w:after="200"/>
        <w:ind w:right="283" w:firstLine="709"/>
        <w:jc w:val="both"/>
        <w:rPr>
          <w:color w:val="010000"/>
        </w:rPr>
      </w:pPr>
      <w:r w:rsidRPr="00DE17B1">
        <w:rPr>
          <w:color w:val="010000"/>
          <w:szCs w:val="26"/>
        </w:rPr>
        <w:t>Denetimin maddi öğelerini oluşturan defter ve belgelerde Partinin Genel Merkezi ile il örgütlerinin 2011 yılı gelirlerinin 90.679,77 TL, giderlerinin 90.319,93 TL olduğu, 359,84 TL'nin ise nakit mevcudu olarak 2012 yılına devredildiği anlaşılmaktadır.</w:t>
      </w:r>
    </w:p>
    <w:p w:rsidR="00DE17B1" w:rsidRPr="00DE17B1" w:rsidRDefault="00DE17B1" w:rsidP="00DE17B1">
      <w:pPr>
        <w:spacing w:after="200"/>
        <w:ind w:right="283" w:firstLine="709"/>
        <w:jc w:val="both"/>
        <w:rPr>
          <w:color w:val="010000"/>
        </w:rPr>
      </w:pPr>
      <w:r w:rsidRPr="00DE17B1">
        <w:rPr>
          <w:color w:val="010000"/>
          <w:szCs w:val="26"/>
        </w:rPr>
        <w:t xml:space="preserve">Partinin 2011 yılı kesin hesabının, Parti Merkez Karar ve Yönetim Kurulunun 24.6.2012 günlü kararı ile kabul edilerek onaylandığı görülmüştür. </w:t>
      </w:r>
    </w:p>
    <w:p w:rsidR="00DE17B1" w:rsidRPr="00DE17B1" w:rsidRDefault="00DE17B1" w:rsidP="00DE17B1">
      <w:pPr>
        <w:spacing w:after="200"/>
        <w:ind w:right="283" w:firstLine="709"/>
        <w:jc w:val="both"/>
        <w:rPr>
          <w:color w:val="010000"/>
        </w:rPr>
      </w:pPr>
      <w:r w:rsidRPr="00DE17B1">
        <w:rPr>
          <w:color w:val="010000"/>
          <w:szCs w:val="26"/>
        </w:rPr>
        <w:t>Partinin 2011 yılı kesin hesabının gelir ve gider rakamlarının yukarıda açıklanan tutarlardan oluştuğu, bu haliyle 2011 yılı kesin hesabının doğru, denk ve 2820 sayılı Kanun'a uygun olduğu sonucuna varılmıştır.</w:t>
      </w:r>
    </w:p>
    <w:p w:rsidR="00DE17B1" w:rsidRPr="00DE17B1" w:rsidRDefault="00DE17B1" w:rsidP="00DE17B1">
      <w:pPr>
        <w:spacing w:after="200"/>
        <w:ind w:right="283" w:firstLine="709"/>
        <w:jc w:val="both"/>
        <w:rPr>
          <w:color w:val="010000"/>
        </w:rPr>
      </w:pPr>
      <w:r w:rsidRPr="00DE17B1">
        <w:rPr>
          <w:b/>
          <w:bCs/>
          <w:color w:val="010000"/>
          <w:szCs w:val="26"/>
        </w:rPr>
        <w:t>A-</w:t>
      </w:r>
      <w:r w:rsidRPr="00DE17B1">
        <w:rPr>
          <w:color w:val="010000"/>
          <w:szCs w:val="26"/>
        </w:rPr>
        <w:t xml:space="preserve"> </w:t>
      </w:r>
      <w:r w:rsidRPr="00DE17B1">
        <w:rPr>
          <w:b/>
          <w:bCs/>
          <w:color w:val="010000"/>
          <w:szCs w:val="26"/>
        </w:rPr>
        <w:t>Gelirlerin İncelenmesi</w:t>
      </w:r>
    </w:p>
    <w:p w:rsidR="00DE17B1" w:rsidRPr="00DE17B1" w:rsidRDefault="00DE17B1" w:rsidP="00DE17B1">
      <w:pPr>
        <w:spacing w:after="200"/>
        <w:ind w:right="283" w:firstLine="709"/>
        <w:jc w:val="both"/>
        <w:rPr>
          <w:color w:val="010000"/>
        </w:rPr>
      </w:pPr>
      <w:r w:rsidRPr="00DE17B1">
        <w:rPr>
          <w:b/>
          <w:bCs/>
          <w:color w:val="010000"/>
          <w:szCs w:val="26"/>
        </w:rPr>
        <w:t>1- Genel Merkez Gelirleri</w:t>
      </w:r>
    </w:p>
    <w:p w:rsidR="00DE17B1" w:rsidRPr="00DE17B1" w:rsidRDefault="00DE17B1" w:rsidP="00DE17B1">
      <w:pPr>
        <w:spacing w:after="200"/>
        <w:ind w:right="283" w:firstLine="709"/>
        <w:jc w:val="both"/>
        <w:rPr>
          <w:color w:val="010000"/>
        </w:rPr>
      </w:pPr>
      <w:r w:rsidRPr="00DE17B1">
        <w:rPr>
          <w:color w:val="010000"/>
          <w:szCs w:val="26"/>
        </w:rPr>
        <w:t>Partinin Genel Merkez gelirleri 14.434,13 TL olarak gösterilmiştir.</w:t>
      </w:r>
    </w:p>
    <w:p w:rsidR="00DE17B1" w:rsidRPr="00DE17B1" w:rsidRDefault="00DE17B1" w:rsidP="00DE17B1">
      <w:pPr>
        <w:spacing w:after="200"/>
        <w:ind w:right="283" w:firstLine="709"/>
        <w:jc w:val="both"/>
        <w:rPr>
          <w:color w:val="010000"/>
        </w:rPr>
      </w:pPr>
      <w:r w:rsidRPr="00DE17B1">
        <w:rPr>
          <w:color w:val="010000"/>
          <w:szCs w:val="26"/>
        </w:rPr>
        <w:lastRenderedPageBreak/>
        <w:t xml:space="preserve">Bunun 14.400 TL'si bağış gelirleri ve 34,13 TL'si ise geçen yıldan devreden nakit mevcudundan oluşmaktadır. </w:t>
      </w:r>
    </w:p>
    <w:p w:rsidR="00DE17B1" w:rsidRPr="00DE17B1" w:rsidRDefault="00DE17B1" w:rsidP="00DE17B1">
      <w:pPr>
        <w:spacing w:after="200"/>
        <w:ind w:right="283" w:firstLine="709"/>
        <w:jc w:val="both"/>
        <w:rPr>
          <w:color w:val="010000"/>
        </w:rPr>
      </w:pPr>
      <w:r w:rsidRPr="00DE17B1">
        <w:rPr>
          <w:color w:val="010000"/>
          <w:szCs w:val="26"/>
        </w:rPr>
        <w:t>Parti Genel Merkezinin defter kayıtları ve gelir belgeleri üzerinde yapılan incelemede, gelirlerin 2820 sayılı Kanun'a uygun olarak sağlandığı sonucuna varılmıştır.</w:t>
      </w:r>
    </w:p>
    <w:p w:rsidR="00DE17B1" w:rsidRPr="00DE17B1" w:rsidRDefault="00DE17B1" w:rsidP="00DE17B1">
      <w:pPr>
        <w:spacing w:after="200"/>
        <w:ind w:right="283" w:firstLine="709"/>
        <w:jc w:val="both"/>
        <w:rPr>
          <w:color w:val="010000"/>
        </w:rPr>
      </w:pPr>
      <w:r w:rsidRPr="00DE17B1">
        <w:rPr>
          <w:b/>
          <w:bCs/>
          <w:color w:val="010000"/>
          <w:szCs w:val="26"/>
        </w:rPr>
        <w:t>2- İl Örgütleri Gelirleri</w:t>
      </w:r>
    </w:p>
    <w:p w:rsidR="00DE17B1" w:rsidRPr="00DE17B1" w:rsidRDefault="00DE17B1" w:rsidP="00DE17B1">
      <w:pPr>
        <w:spacing w:after="200"/>
        <w:ind w:right="283" w:firstLine="709"/>
        <w:jc w:val="both"/>
        <w:rPr>
          <w:color w:val="010000"/>
        </w:rPr>
      </w:pPr>
      <w:r w:rsidRPr="00DE17B1">
        <w:rPr>
          <w:color w:val="010000"/>
          <w:szCs w:val="26"/>
        </w:rPr>
        <w:t>Parti il örgütlerinin gelirleri 76.245,64 TL olarak gösterilmiştir.</w:t>
      </w:r>
    </w:p>
    <w:p w:rsidR="00DE17B1" w:rsidRPr="00DE17B1" w:rsidRDefault="00DE17B1" w:rsidP="00DE17B1">
      <w:pPr>
        <w:spacing w:after="200"/>
        <w:ind w:right="283" w:firstLine="709"/>
        <w:jc w:val="both"/>
        <w:rPr>
          <w:color w:val="010000"/>
        </w:rPr>
      </w:pPr>
      <w:r w:rsidRPr="00DE17B1">
        <w:rPr>
          <w:color w:val="010000"/>
          <w:szCs w:val="26"/>
        </w:rPr>
        <w:t xml:space="preserve">Bunun 8.260 TL'si aidat gelirleri, 67.467,77 TL'si bağış gelirleri ve 517,87 TL'si ise geçen yıldan devreden nakit mevcudundan oluşmaktadır. </w:t>
      </w:r>
    </w:p>
    <w:p w:rsidR="00DE17B1" w:rsidRPr="00DE17B1" w:rsidRDefault="00DE17B1" w:rsidP="00DE17B1">
      <w:pPr>
        <w:spacing w:after="200"/>
        <w:ind w:right="283" w:firstLine="709"/>
        <w:jc w:val="both"/>
        <w:rPr>
          <w:color w:val="010000"/>
        </w:rPr>
      </w:pPr>
      <w:r w:rsidRPr="00DE17B1">
        <w:rPr>
          <w:color w:val="010000"/>
          <w:szCs w:val="26"/>
        </w:rPr>
        <w:t>Parti il örgütlerinin kesin hesap çizelgelerinin gelir bölümünde yapılan incelemede, gelirlerin 2820 sayılı Kanun'a uygun olduğu sonucuna varılmıştır.</w:t>
      </w:r>
    </w:p>
    <w:p w:rsidR="00DE17B1" w:rsidRPr="00DE17B1" w:rsidRDefault="00DE17B1" w:rsidP="00DE17B1">
      <w:pPr>
        <w:spacing w:after="200"/>
        <w:ind w:right="283" w:firstLine="709"/>
        <w:jc w:val="both"/>
        <w:rPr>
          <w:color w:val="010000"/>
        </w:rPr>
      </w:pPr>
      <w:r w:rsidRPr="00DE17B1">
        <w:rPr>
          <w:b/>
          <w:bCs/>
          <w:color w:val="010000"/>
          <w:szCs w:val="26"/>
        </w:rPr>
        <w:t>B- Giderlerin İncelenmesi</w:t>
      </w:r>
    </w:p>
    <w:p w:rsidR="00DE17B1" w:rsidRPr="00DE17B1" w:rsidRDefault="00DE17B1" w:rsidP="00DE17B1">
      <w:pPr>
        <w:spacing w:after="200"/>
        <w:ind w:right="283" w:firstLine="709"/>
        <w:jc w:val="both"/>
        <w:rPr>
          <w:color w:val="010000"/>
        </w:rPr>
      </w:pPr>
      <w:r w:rsidRPr="00DE17B1">
        <w:rPr>
          <w:b/>
          <w:bCs/>
          <w:color w:val="010000"/>
          <w:szCs w:val="26"/>
        </w:rPr>
        <w:t>1- Genel Merkez Giderleri</w:t>
      </w:r>
    </w:p>
    <w:p w:rsidR="00DE17B1" w:rsidRPr="00DE17B1" w:rsidRDefault="00DE17B1" w:rsidP="00DE17B1">
      <w:pPr>
        <w:spacing w:after="200"/>
        <w:ind w:right="283" w:firstLine="709"/>
        <w:jc w:val="both"/>
        <w:rPr>
          <w:color w:val="010000"/>
        </w:rPr>
      </w:pPr>
      <w:r w:rsidRPr="00DE17B1">
        <w:rPr>
          <w:color w:val="010000"/>
          <w:szCs w:val="26"/>
        </w:rPr>
        <w:t>Partinin Genel Merkez giderleri 14.386,99 TL olarak gösterilmiştir.</w:t>
      </w:r>
    </w:p>
    <w:p w:rsidR="00DE17B1" w:rsidRPr="00DE17B1" w:rsidRDefault="00DE17B1" w:rsidP="00DE17B1">
      <w:pPr>
        <w:spacing w:after="200"/>
        <w:ind w:right="283" w:firstLine="709"/>
        <w:jc w:val="both"/>
        <w:rPr>
          <w:color w:val="010000"/>
        </w:rPr>
      </w:pPr>
      <w:r w:rsidRPr="00DE17B1">
        <w:rPr>
          <w:color w:val="010000"/>
          <w:szCs w:val="26"/>
        </w:rPr>
        <w:t>Bunun 1.280,24 TL'si haberleşme giderleri, 12.035 TL'si kira giderleri, 905,75 TL'si ısınma, aydınlatma ve temizlik giderleri ve 166 TL'si ise vergi, sigorta ve noter giderlerinden oluşmaktadır.</w:t>
      </w:r>
    </w:p>
    <w:p w:rsidR="00DE17B1" w:rsidRPr="00DE17B1" w:rsidRDefault="00DE17B1" w:rsidP="00DE17B1">
      <w:pPr>
        <w:spacing w:after="200"/>
        <w:ind w:right="283" w:firstLine="709"/>
        <w:jc w:val="both"/>
        <w:rPr>
          <w:color w:val="010000"/>
        </w:rPr>
      </w:pPr>
      <w:r w:rsidRPr="00DE17B1">
        <w:rPr>
          <w:color w:val="010000"/>
          <w:szCs w:val="26"/>
        </w:rPr>
        <w:t>Parti Genel Merkezinin 2012 yılına devreden nakit mevcudu 47,14 TL'dir.</w:t>
      </w:r>
    </w:p>
    <w:p w:rsidR="00DE17B1" w:rsidRPr="00DE17B1" w:rsidRDefault="00DE17B1" w:rsidP="00DE17B1">
      <w:pPr>
        <w:spacing w:after="200"/>
        <w:ind w:right="283" w:firstLine="709"/>
        <w:jc w:val="both"/>
        <w:rPr>
          <w:color w:val="010000"/>
        </w:rPr>
      </w:pPr>
      <w:r w:rsidRPr="00DE17B1">
        <w:rPr>
          <w:color w:val="010000"/>
          <w:szCs w:val="26"/>
        </w:rPr>
        <w:t>Parti Genel Merkezinin defter kayıtları ve gider belgeleri üzerinde yapılan incelemede, giderlerin 2820 sayılı Kanun'a uygun olarak gerçekleştirildiği sonucuna varılmıştır.</w:t>
      </w:r>
    </w:p>
    <w:p w:rsidR="00DE17B1" w:rsidRPr="00DE17B1" w:rsidRDefault="00DE17B1" w:rsidP="00DE17B1">
      <w:pPr>
        <w:spacing w:after="200"/>
        <w:ind w:right="283" w:firstLine="709"/>
        <w:jc w:val="both"/>
        <w:rPr>
          <w:color w:val="010000"/>
        </w:rPr>
      </w:pPr>
      <w:r w:rsidRPr="00DE17B1">
        <w:rPr>
          <w:b/>
          <w:bCs/>
          <w:color w:val="010000"/>
          <w:szCs w:val="26"/>
        </w:rPr>
        <w:t>2- İl Örgütleri Giderleri</w:t>
      </w:r>
    </w:p>
    <w:p w:rsidR="00DE17B1" w:rsidRPr="00DE17B1" w:rsidRDefault="00DE17B1" w:rsidP="00DE17B1">
      <w:pPr>
        <w:spacing w:after="200"/>
        <w:ind w:right="283" w:firstLine="709"/>
        <w:jc w:val="both"/>
        <w:rPr>
          <w:color w:val="010000"/>
        </w:rPr>
      </w:pPr>
      <w:r w:rsidRPr="00DE17B1">
        <w:rPr>
          <w:color w:val="010000"/>
          <w:szCs w:val="26"/>
        </w:rPr>
        <w:t>Parti il örgütlerinin giderleri 75.932,94 TL olarak gösterilmiştir.</w:t>
      </w:r>
    </w:p>
    <w:p w:rsidR="00DE17B1" w:rsidRPr="00DE17B1" w:rsidRDefault="00DE17B1" w:rsidP="00DE17B1">
      <w:pPr>
        <w:spacing w:after="200"/>
        <w:ind w:right="283" w:firstLine="709"/>
        <w:jc w:val="both"/>
        <w:rPr>
          <w:color w:val="010000"/>
        </w:rPr>
      </w:pPr>
      <w:r w:rsidRPr="00DE17B1">
        <w:rPr>
          <w:color w:val="010000"/>
          <w:szCs w:val="26"/>
        </w:rPr>
        <w:t>Bunun 4.574,27 TL'si haberleşme giderleri, 250 TL'si kırtasiye ve büro giderleri, 55.554,10 TL'si kira giderleri, 14.989,51 TL'si ısınma, aydınlatma ve temizlik giderleri ve 565,06 TL'si vergi, sigorta ve noter giderlerinden oluşmaktadır.</w:t>
      </w:r>
    </w:p>
    <w:p w:rsidR="00DE17B1" w:rsidRPr="00DE17B1" w:rsidRDefault="00DE17B1" w:rsidP="00DE17B1">
      <w:pPr>
        <w:spacing w:after="200"/>
        <w:ind w:right="283" w:firstLine="709"/>
        <w:jc w:val="both"/>
        <w:rPr>
          <w:color w:val="010000"/>
        </w:rPr>
      </w:pPr>
      <w:r w:rsidRPr="00DE17B1">
        <w:rPr>
          <w:color w:val="010000"/>
          <w:szCs w:val="26"/>
        </w:rPr>
        <w:t>Parti il örgütlerinin 2012 yılına devreden nakit mevcudu 312,70 TL'dir.</w:t>
      </w:r>
    </w:p>
    <w:p w:rsidR="00DE17B1" w:rsidRPr="00DE17B1" w:rsidRDefault="00DE17B1" w:rsidP="00DE17B1">
      <w:pPr>
        <w:spacing w:after="200"/>
        <w:ind w:right="283" w:firstLine="709"/>
        <w:jc w:val="both"/>
        <w:rPr>
          <w:color w:val="010000"/>
        </w:rPr>
      </w:pPr>
      <w:r w:rsidRPr="00DE17B1">
        <w:rPr>
          <w:color w:val="010000"/>
          <w:szCs w:val="26"/>
        </w:rPr>
        <w:t>Parti il örgütlerinin kesin hesap çizelgelerinin gider bölümleri üzerinde yapılan incelemede, giderlerin 2820 sayılı Kanun'a uygun olduğu sonucuna varılmıştır.</w:t>
      </w:r>
    </w:p>
    <w:p w:rsidR="00DE17B1" w:rsidRPr="00DE17B1" w:rsidRDefault="00DE17B1" w:rsidP="00DE17B1">
      <w:pPr>
        <w:spacing w:after="200"/>
        <w:ind w:right="283" w:firstLine="709"/>
        <w:jc w:val="both"/>
        <w:rPr>
          <w:color w:val="010000"/>
        </w:rPr>
      </w:pPr>
      <w:r w:rsidRPr="00DE17B1">
        <w:rPr>
          <w:b/>
          <w:bCs/>
          <w:color w:val="010000"/>
          <w:szCs w:val="26"/>
        </w:rPr>
        <w:t>C- Parti Malları</w:t>
      </w:r>
    </w:p>
    <w:p w:rsidR="00DE17B1" w:rsidRPr="00DE17B1" w:rsidRDefault="00DE17B1" w:rsidP="00DE17B1">
      <w:pPr>
        <w:spacing w:after="200"/>
        <w:ind w:right="283" w:firstLine="709"/>
        <w:jc w:val="both"/>
        <w:rPr>
          <w:color w:val="010000"/>
        </w:rPr>
      </w:pPr>
      <w:r w:rsidRPr="00DE17B1">
        <w:rPr>
          <w:color w:val="010000"/>
          <w:szCs w:val="26"/>
        </w:rPr>
        <w:t>Partinin 2011 yılı defter ve belgeleri üzerinde yapılan incelemede, herhangi bir taşınmaz mal ve değeri yüz lirayı aşan taşınır mal ve menkul kıymet ediniminin olmadığı anlaşılmıştır.</w:t>
      </w:r>
    </w:p>
    <w:p w:rsidR="00DE17B1" w:rsidRPr="00DE17B1" w:rsidRDefault="00DE17B1" w:rsidP="00DE17B1">
      <w:pPr>
        <w:spacing w:after="200"/>
        <w:ind w:right="283" w:firstLine="709"/>
        <w:jc w:val="both"/>
        <w:rPr>
          <w:color w:val="010000"/>
        </w:rPr>
      </w:pPr>
      <w:r w:rsidRPr="00DE17B1">
        <w:rPr>
          <w:b/>
          <w:bCs/>
          <w:color w:val="010000"/>
          <w:szCs w:val="26"/>
        </w:rPr>
        <w:t>IV- SONUÇ</w:t>
      </w:r>
    </w:p>
    <w:p w:rsidR="00DE17B1" w:rsidRPr="00DE17B1" w:rsidRDefault="00DE17B1" w:rsidP="00DE17B1">
      <w:pPr>
        <w:spacing w:after="200"/>
        <w:ind w:right="283" w:firstLine="709"/>
        <w:jc w:val="both"/>
        <w:rPr>
          <w:color w:val="010000"/>
        </w:rPr>
      </w:pPr>
      <w:r w:rsidRPr="00DE17B1">
        <w:rPr>
          <w:color w:val="010000"/>
          <w:szCs w:val="26"/>
        </w:rPr>
        <w:t>Halkın Kurtuluş Partisinin 2011 yılı kesin hesabının incelenmesi sonucunda;</w:t>
      </w:r>
    </w:p>
    <w:p w:rsidR="00DE17B1" w:rsidRPr="00DE17B1" w:rsidRDefault="00DE17B1" w:rsidP="00DE17B1">
      <w:pPr>
        <w:spacing w:after="200"/>
        <w:ind w:right="283" w:firstLine="709"/>
        <w:jc w:val="both"/>
        <w:rPr>
          <w:color w:val="010000"/>
        </w:rPr>
      </w:pPr>
      <w:r w:rsidRPr="00DE17B1">
        <w:rPr>
          <w:color w:val="010000"/>
          <w:szCs w:val="26"/>
        </w:rPr>
        <w:t>Partinin 2011 yılı kesin hesabında gösterilen 90.679,77 TL gelir ve 90.319,93 TL gider ile 359,84 TL nakit devrinin eldeki bilgi ve belgelere göre doğru, denk ve 2820 sayılı Siyasi Partiler Kanunu'na uygun olduğuna, 2.5.2013 gününde OYBİRLİĞİYLE karar verildi.</w:t>
      </w:r>
    </w:p>
    <w:tbl>
      <w:tblPr>
        <w:tblW w:w="5000" w:type="pct"/>
        <w:jc w:val="center"/>
        <w:tblCellMar>
          <w:left w:w="0" w:type="dxa"/>
          <w:right w:w="0" w:type="dxa"/>
        </w:tblCellMar>
        <w:tblLook w:val="04A0" w:firstRow="1" w:lastRow="0" w:firstColumn="1" w:lastColumn="0" w:noHBand="0" w:noVBand="1"/>
      </w:tblPr>
      <w:tblGrid>
        <w:gridCol w:w="3260"/>
        <w:gridCol w:w="3261"/>
        <w:gridCol w:w="3259"/>
      </w:tblGrid>
      <w:tr w:rsidR="00DE17B1" w:rsidRPr="00DE17B1" w:rsidTr="00DE17B1">
        <w:trPr>
          <w:jc w:val="center"/>
        </w:trPr>
        <w:tc>
          <w:tcPr>
            <w:tcW w:w="1667" w:type="pct"/>
            <w:tcMar>
              <w:top w:w="0" w:type="dxa"/>
              <w:left w:w="70" w:type="dxa"/>
              <w:bottom w:w="0" w:type="dxa"/>
              <w:right w:w="70" w:type="dxa"/>
            </w:tcMar>
            <w:hideMark/>
          </w:tcPr>
          <w:p w:rsidR="00DE17B1" w:rsidRPr="00DE17B1" w:rsidRDefault="00DE17B1" w:rsidP="00DE17B1">
            <w:pPr>
              <w:spacing w:before="240" w:after="240"/>
              <w:jc w:val="center"/>
              <w:rPr>
                <w:color w:val="010000"/>
              </w:rPr>
            </w:pPr>
            <w:r w:rsidRPr="00DE17B1">
              <w:rPr>
                <w:color w:val="010000"/>
                <w:szCs w:val="26"/>
              </w:rPr>
              <w:lastRenderedPageBreak/>
              <w:t>Başkanvekili</w:t>
            </w:r>
          </w:p>
          <w:p w:rsidR="00DE17B1" w:rsidRPr="00DE17B1" w:rsidRDefault="00DE17B1" w:rsidP="00DE17B1">
            <w:pPr>
              <w:spacing w:before="240" w:after="240"/>
              <w:jc w:val="center"/>
              <w:rPr>
                <w:color w:val="010000"/>
              </w:rPr>
            </w:pPr>
            <w:proofErr w:type="spellStart"/>
            <w:r w:rsidRPr="00DE17B1">
              <w:rPr>
                <w:color w:val="010000"/>
                <w:szCs w:val="26"/>
              </w:rPr>
              <w:t>Serruh</w:t>
            </w:r>
            <w:proofErr w:type="spellEnd"/>
            <w:r w:rsidRPr="00DE17B1">
              <w:rPr>
                <w:color w:val="010000"/>
                <w:szCs w:val="26"/>
              </w:rPr>
              <w:t xml:space="preserve"> KALELİ</w:t>
            </w:r>
          </w:p>
        </w:tc>
        <w:tc>
          <w:tcPr>
            <w:tcW w:w="1667" w:type="pct"/>
            <w:tcMar>
              <w:top w:w="0" w:type="dxa"/>
              <w:left w:w="70" w:type="dxa"/>
              <w:bottom w:w="0" w:type="dxa"/>
              <w:right w:w="70" w:type="dxa"/>
            </w:tcMar>
            <w:hideMark/>
          </w:tcPr>
          <w:p w:rsidR="00DE17B1" w:rsidRPr="00DE17B1" w:rsidRDefault="00DE17B1" w:rsidP="00DE17B1">
            <w:pPr>
              <w:spacing w:before="240" w:after="240"/>
              <w:jc w:val="center"/>
              <w:rPr>
                <w:color w:val="010000"/>
              </w:rPr>
            </w:pPr>
            <w:r w:rsidRPr="00DE17B1">
              <w:rPr>
                <w:color w:val="010000"/>
                <w:szCs w:val="26"/>
              </w:rPr>
              <w:t>Başkanvekili</w:t>
            </w:r>
          </w:p>
          <w:p w:rsidR="00DE17B1" w:rsidRPr="00DE17B1" w:rsidRDefault="00DE17B1" w:rsidP="00DE17B1">
            <w:pPr>
              <w:spacing w:before="240" w:after="240"/>
              <w:jc w:val="center"/>
              <w:rPr>
                <w:color w:val="010000"/>
              </w:rPr>
            </w:pPr>
            <w:r w:rsidRPr="00DE17B1">
              <w:rPr>
                <w:color w:val="010000"/>
                <w:szCs w:val="26"/>
              </w:rPr>
              <w:t>Alparslan ALTAN</w:t>
            </w:r>
          </w:p>
        </w:tc>
        <w:tc>
          <w:tcPr>
            <w:tcW w:w="1667" w:type="pct"/>
            <w:tcMar>
              <w:top w:w="0" w:type="dxa"/>
              <w:left w:w="70" w:type="dxa"/>
              <w:bottom w:w="0" w:type="dxa"/>
              <w:right w:w="70" w:type="dxa"/>
            </w:tcMar>
            <w:hideMark/>
          </w:tcPr>
          <w:p w:rsidR="00DE17B1" w:rsidRPr="00DE17B1" w:rsidRDefault="00DE17B1" w:rsidP="00DE17B1">
            <w:pPr>
              <w:spacing w:before="240" w:after="240"/>
              <w:jc w:val="center"/>
              <w:rPr>
                <w:color w:val="010000"/>
              </w:rPr>
            </w:pPr>
            <w:r w:rsidRPr="00DE17B1">
              <w:rPr>
                <w:color w:val="010000"/>
                <w:szCs w:val="26"/>
              </w:rPr>
              <w:t>Üye</w:t>
            </w:r>
          </w:p>
          <w:p w:rsidR="00DE17B1" w:rsidRPr="00DE17B1" w:rsidRDefault="00DE17B1" w:rsidP="00DE17B1">
            <w:pPr>
              <w:spacing w:before="240" w:after="240"/>
              <w:jc w:val="center"/>
              <w:rPr>
                <w:color w:val="010000"/>
              </w:rPr>
            </w:pPr>
            <w:r w:rsidRPr="00DE17B1">
              <w:rPr>
                <w:color w:val="010000"/>
                <w:szCs w:val="26"/>
              </w:rPr>
              <w:t>Mehmet ERTEN</w:t>
            </w:r>
          </w:p>
        </w:tc>
      </w:tr>
    </w:tbl>
    <w:p w:rsidR="00DE17B1" w:rsidRPr="00DE17B1" w:rsidRDefault="00DE17B1" w:rsidP="00DE17B1">
      <w:pPr>
        <w:spacing w:after="200"/>
        <w:ind w:right="283" w:firstLine="709"/>
        <w:jc w:val="both"/>
        <w:rPr>
          <w:color w:val="010000"/>
        </w:rPr>
      </w:pPr>
    </w:p>
    <w:tbl>
      <w:tblPr>
        <w:tblW w:w="5000" w:type="pct"/>
        <w:jc w:val="center"/>
        <w:tblCellMar>
          <w:left w:w="0" w:type="dxa"/>
          <w:right w:w="0" w:type="dxa"/>
        </w:tblCellMar>
        <w:tblLook w:val="04A0" w:firstRow="1" w:lastRow="0" w:firstColumn="1" w:lastColumn="0" w:noHBand="0" w:noVBand="1"/>
      </w:tblPr>
      <w:tblGrid>
        <w:gridCol w:w="3260"/>
        <w:gridCol w:w="3261"/>
        <w:gridCol w:w="3259"/>
      </w:tblGrid>
      <w:tr w:rsidR="00DE17B1" w:rsidRPr="00DE17B1" w:rsidTr="00DE17B1">
        <w:trPr>
          <w:jc w:val="center"/>
        </w:trPr>
        <w:tc>
          <w:tcPr>
            <w:tcW w:w="1667" w:type="pct"/>
            <w:tcMar>
              <w:top w:w="0" w:type="dxa"/>
              <w:left w:w="70" w:type="dxa"/>
              <w:bottom w:w="0" w:type="dxa"/>
              <w:right w:w="70" w:type="dxa"/>
            </w:tcMar>
            <w:hideMark/>
          </w:tcPr>
          <w:p w:rsidR="00DE17B1" w:rsidRPr="00DE17B1" w:rsidRDefault="00DE17B1" w:rsidP="00DE17B1">
            <w:pPr>
              <w:spacing w:before="240" w:after="240"/>
              <w:jc w:val="center"/>
              <w:rPr>
                <w:color w:val="010000"/>
              </w:rPr>
            </w:pPr>
            <w:r w:rsidRPr="00DE17B1">
              <w:rPr>
                <w:color w:val="010000"/>
                <w:szCs w:val="26"/>
              </w:rPr>
              <w:t>Üye</w:t>
            </w:r>
          </w:p>
          <w:p w:rsidR="00DE17B1" w:rsidRPr="00DE17B1" w:rsidRDefault="00DE17B1" w:rsidP="00DE17B1">
            <w:pPr>
              <w:spacing w:before="240" w:after="240"/>
              <w:jc w:val="center"/>
              <w:rPr>
                <w:color w:val="010000"/>
              </w:rPr>
            </w:pPr>
            <w:r w:rsidRPr="00DE17B1">
              <w:rPr>
                <w:color w:val="010000"/>
                <w:szCs w:val="26"/>
              </w:rPr>
              <w:t>Serdar ÖZGÜLDÜR</w:t>
            </w:r>
          </w:p>
        </w:tc>
        <w:tc>
          <w:tcPr>
            <w:tcW w:w="1667" w:type="pct"/>
            <w:tcMar>
              <w:top w:w="0" w:type="dxa"/>
              <w:left w:w="70" w:type="dxa"/>
              <w:bottom w:w="0" w:type="dxa"/>
              <w:right w:w="70" w:type="dxa"/>
            </w:tcMar>
            <w:hideMark/>
          </w:tcPr>
          <w:p w:rsidR="00DE17B1" w:rsidRPr="00DE17B1" w:rsidRDefault="00DE17B1" w:rsidP="00DE17B1">
            <w:pPr>
              <w:spacing w:before="240" w:after="240"/>
              <w:jc w:val="center"/>
              <w:rPr>
                <w:color w:val="010000"/>
              </w:rPr>
            </w:pPr>
            <w:r w:rsidRPr="00DE17B1">
              <w:rPr>
                <w:color w:val="010000"/>
                <w:szCs w:val="26"/>
              </w:rPr>
              <w:t>Üye</w:t>
            </w:r>
          </w:p>
          <w:p w:rsidR="00DE17B1" w:rsidRPr="00DE17B1" w:rsidRDefault="00DE17B1" w:rsidP="00DE17B1">
            <w:pPr>
              <w:spacing w:before="240" w:after="240"/>
              <w:jc w:val="center"/>
              <w:rPr>
                <w:color w:val="010000"/>
              </w:rPr>
            </w:pPr>
            <w:r w:rsidRPr="00DE17B1">
              <w:rPr>
                <w:color w:val="010000"/>
                <w:szCs w:val="26"/>
              </w:rPr>
              <w:t>Zehra Ayla PERKTAŞ</w:t>
            </w:r>
          </w:p>
        </w:tc>
        <w:tc>
          <w:tcPr>
            <w:tcW w:w="1667" w:type="pct"/>
            <w:tcMar>
              <w:top w:w="0" w:type="dxa"/>
              <w:left w:w="70" w:type="dxa"/>
              <w:bottom w:w="0" w:type="dxa"/>
              <w:right w:w="70" w:type="dxa"/>
            </w:tcMar>
            <w:hideMark/>
          </w:tcPr>
          <w:p w:rsidR="00DE17B1" w:rsidRPr="00DE17B1" w:rsidRDefault="00DE17B1" w:rsidP="00DE17B1">
            <w:pPr>
              <w:spacing w:before="240" w:after="240"/>
              <w:jc w:val="center"/>
              <w:rPr>
                <w:color w:val="010000"/>
              </w:rPr>
            </w:pPr>
            <w:r w:rsidRPr="00DE17B1">
              <w:rPr>
                <w:color w:val="010000"/>
                <w:szCs w:val="26"/>
              </w:rPr>
              <w:t>Üye</w:t>
            </w:r>
          </w:p>
          <w:p w:rsidR="00DE17B1" w:rsidRPr="00DE17B1" w:rsidRDefault="00DE17B1" w:rsidP="00DE17B1">
            <w:pPr>
              <w:spacing w:before="240" w:after="240"/>
              <w:jc w:val="center"/>
              <w:rPr>
                <w:color w:val="010000"/>
              </w:rPr>
            </w:pPr>
            <w:r w:rsidRPr="00DE17B1">
              <w:rPr>
                <w:color w:val="010000"/>
                <w:szCs w:val="26"/>
              </w:rPr>
              <w:t>Recep KÖMÜRCÜ</w:t>
            </w:r>
          </w:p>
        </w:tc>
      </w:tr>
    </w:tbl>
    <w:p w:rsidR="00DE17B1" w:rsidRPr="00DE17B1" w:rsidRDefault="00DE17B1" w:rsidP="00DE17B1">
      <w:pPr>
        <w:spacing w:after="200"/>
        <w:ind w:right="283" w:firstLine="709"/>
        <w:jc w:val="both"/>
        <w:rPr>
          <w:color w:val="010000"/>
        </w:rPr>
      </w:pPr>
    </w:p>
    <w:tbl>
      <w:tblPr>
        <w:tblW w:w="5000" w:type="pct"/>
        <w:jc w:val="center"/>
        <w:tblCellMar>
          <w:left w:w="0" w:type="dxa"/>
          <w:right w:w="0" w:type="dxa"/>
        </w:tblCellMar>
        <w:tblLook w:val="04A0" w:firstRow="1" w:lastRow="0" w:firstColumn="1" w:lastColumn="0" w:noHBand="0" w:noVBand="1"/>
      </w:tblPr>
      <w:tblGrid>
        <w:gridCol w:w="3260"/>
        <w:gridCol w:w="3261"/>
        <w:gridCol w:w="3259"/>
      </w:tblGrid>
      <w:tr w:rsidR="00DE17B1" w:rsidRPr="00DE17B1" w:rsidTr="00DE17B1">
        <w:trPr>
          <w:jc w:val="center"/>
        </w:trPr>
        <w:tc>
          <w:tcPr>
            <w:tcW w:w="1667" w:type="pct"/>
            <w:tcMar>
              <w:top w:w="0" w:type="dxa"/>
              <w:left w:w="70" w:type="dxa"/>
              <w:bottom w:w="0" w:type="dxa"/>
              <w:right w:w="70" w:type="dxa"/>
            </w:tcMar>
            <w:hideMark/>
          </w:tcPr>
          <w:p w:rsidR="00DE17B1" w:rsidRPr="00DE17B1" w:rsidRDefault="00DE17B1" w:rsidP="00DE17B1">
            <w:pPr>
              <w:spacing w:before="240" w:after="240"/>
              <w:jc w:val="center"/>
              <w:rPr>
                <w:color w:val="010000"/>
              </w:rPr>
            </w:pPr>
            <w:r w:rsidRPr="00DE17B1">
              <w:rPr>
                <w:color w:val="010000"/>
                <w:szCs w:val="26"/>
              </w:rPr>
              <w:t>Üye</w:t>
            </w:r>
          </w:p>
          <w:p w:rsidR="00DE17B1" w:rsidRPr="00DE17B1" w:rsidRDefault="00DE17B1" w:rsidP="00DE17B1">
            <w:pPr>
              <w:spacing w:before="240" w:after="240"/>
              <w:jc w:val="center"/>
              <w:rPr>
                <w:color w:val="010000"/>
              </w:rPr>
            </w:pPr>
            <w:r w:rsidRPr="00DE17B1">
              <w:rPr>
                <w:color w:val="010000"/>
                <w:szCs w:val="26"/>
              </w:rPr>
              <w:t>Burhan ÜSTÜN</w:t>
            </w:r>
          </w:p>
        </w:tc>
        <w:tc>
          <w:tcPr>
            <w:tcW w:w="1667" w:type="pct"/>
            <w:tcMar>
              <w:top w:w="0" w:type="dxa"/>
              <w:left w:w="70" w:type="dxa"/>
              <w:bottom w:w="0" w:type="dxa"/>
              <w:right w:w="70" w:type="dxa"/>
            </w:tcMar>
            <w:hideMark/>
          </w:tcPr>
          <w:p w:rsidR="00DE17B1" w:rsidRPr="00DE17B1" w:rsidRDefault="00DE17B1" w:rsidP="00DE17B1">
            <w:pPr>
              <w:spacing w:before="240" w:after="240"/>
              <w:jc w:val="center"/>
              <w:rPr>
                <w:color w:val="010000"/>
              </w:rPr>
            </w:pPr>
            <w:r w:rsidRPr="00DE17B1">
              <w:rPr>
                <w:color w:val="010000"/>
                <w:szCs w:val="26"/>
              </w:rPr>
              <w:t>Üye</w:t>
            </w:r>
          </w:p>
          <w:p w:rsidR="00DE17B1" w:rsidRPr="00DE17B1" w:rsidRDefault="00DE17B1" w:rsidP="00DE17B1">
            <w:pPr>
              <w:spacing w:before="240" w:after="240"/>
              <w:jc w:val="center"/>
              <w:rPr>
                <w:color w:val="010000"/>
              </w:rPr>
            </w:pPr>
            <w:r w:rsidRPr="00DE17B1">
              <w:rPr>
                <w:color w:val="010000"/>
                <w:szCs w:val="26"/>
              </w:rPr>
              <w:t>Engin YILDIRIM</w:t>
            </w:r>
          </w:p>
        </w:tc>
        <w:tc>
          <w:tcPr>
            <w:tcW w:w="1667" w:type="pct"/>
            <w:tcMar>
              <w:top w:w="0" w:type="dxa"/>
              <w:left w:w="70" w:type="dxa"/>
              <w:bottom w:w="0" w:type="dxa"/>
              <w:right w:w="70" w:type="dxa"/>
            </w:tcMar>
            <w:hideMark/>
          </w:tcPr>
          <w:p w:rsidR="00DE17B1" w:rsidRPr="00DE17B1" w:rsidRDefault="00DE17B1" w:rsidP="00DE17B1">
            <w:pPr>
              <w:spacing w:before="240" w:after="240"/>
              <w:jc w:val="center"/>
              <w:rPr>
                <w:color w:val="010000"/>
              </w:rPr>
            </w:pPr>
            <w:r w:rsidRPr="00DE17B1">
              <w:rPr>
                <w:color w:val="010000"/>
                <w:szCs w:val="26"/>
              </w:rPr>
              <w:t>Üye</w:t>
            </w:r>
          </w:p>
          <w:p w:rsidR="00DE17B1" w:rsidRPr="00DE17B1" w:rsidRDefault="00DE17B1" w:rsidP="00DE17B1">
            <w:pPr>
              <w:spacing w:before="240" w:after="240"/>
              <w:jc w:val="center"/>
              <w:rPr>
                <w:color w:val="010000"/>
              </w:rPr>
            </w:pPr>
            <w:r w:rsidRPr="00DE17B1">
              <w:rPr>
                <w:color w:val="010000"/>
                <w:szCs w:val="26"/>
              </w:rPr>
              <w:t>Nuri NECİPOĞLU</w:t>
            </w:r>
          </w:p>
        </w:tc>
      </w:tr>
    </w:tbl>
    <w:p w:rsidR="00DE17B1" w:rsidRPr="00DE17B1" w:rsidRDefault="00DE17B1" w:rsidP="00DE17B1">
      <w:pPr>
        <w:spacing w:after="200"/>
        <w:ind w:right="283" w:firstLine="709"/>
        <w:jc w:val="both"/>
        <w:rPr>
          <w:color w:val="010000"/>
        </w:rPr>
      </w:pPr>
    </w:p>
    <w:tbl>
      <w:tblPr>
        <w:tblW w:w="5000" w:type="pct"/>
        <w:jc w:val="center"/>
        <w:tblCellMar>
          <w:left w:w="0" w:type="dxa"/>
          <w:right w:w="0" w:type="dxa"/>
        </w:tblCellMar>
        <w:tblLook w:val="04A0" w:firstRow="1" w:lastRow="0" w:firstColumn="1" w:lastColumn="0" w:noHBand="0" w:noVBand="1"/>
      </w:tblPr>
      <w:tblGrid>
        <w:gridCol w:w="3260"/>
        <w:gridCol w:w="3261"/>
        <w:gridCol w:w="3259"/>
      </w:tblGrid>
      <w:tr w:rsidR="00DE17B1" w:rsidRPr="00DE17B1" w:rsidTr="00DE17B1">
        <w:trPr>
          <w:jc w:val="center"/>
        </w:trPr>
        <w:tc>
          <w:tcPr>
            <w:tcW w:w="1667" w:type="pct"/>
            <w:tcMar>
              <w:top w:w="0" w:type="dxa"/>
              <w:left w:w="70" w:type="dxa"/>
              <w:bottom w:w="0" w:type="dxa"/>
              <w:right w:w="70" w:type="dxa"/>
            </w:tcMar>
            <w:hideMark/>
          </w:tcPr>
          <w:p w:rsidR="00DE17B1" w:rsidRPr="00DE17B1" w:rsidRDefault="00DE17B1" w:rsidP="00DE17B1">
            <w:pPr>
              <w:spacing w:before="240" w:after="240"/>
              <w:jc w:val="center"/>
              <w:rPr>
                <w:color w:val="010000"/>
              </w:rPr>
            </w:pPr>
            <w:r w:rsidRPr="00DE17B1">
              <w:rPr>
                <w:color w:val="010000"/>
                <w:szCs w:val="26"/>
              </w:rPr>
              <w:t>Üye</w:t>
            </w:r>
          </w:p>
          <w:p w:rsidR="00DE17B1" w:rsidRPr="00DE17B1" w:rsidRDefault="00DE17B1" w:rsidP="00DE17B1">
            <w:pPr>
              <w:spacing w:before="240" w:after="240"/>
              <w:jc w:val="center"/>
              <w:rPr>
                <w:color w:val="010000"/>
              </w:rPr>
            </w:pPr>
            <w:proofErr w:type="spellStart"/>
            <w:r w:rsidRPr="00DE17B1">
              <w:rPr>
                <w:color w:val="010000"/>
                <w:szCs w:val="26"/>
              </w:rPr>
              <w:t>Hicabi</w:t>
            </w:r>
            <w:proofErr w:type="spellEnd"/>
            <w:r w:rsidRPr="00DE17B1">
              <w:rPr>
                <w:color w:val="010000"/>
                <w:szCs w:val="26"/>
              </w:rPr>
              <w:t xml:space="preserve"> DURSUN</w:t>
            </w:r>
          </w:p>
        </w:tc>
        <w:tc>
          <w:tcPr>
            <w:tcW w:w="1667" w:type="pct"/>
            <w:tcMar>
              <w:top w:w="0" w:type="dxa"/>
              <w:left w:w="70" w:type="dxa"/>
              <w:bottom w:w="0" w:type="dxa"/>
              <w:right w:w="70" w:type="dxa"/>
            </w:tcMar>
            <w:hideMark/>
          </w:tcPr>
          <w:p w:rsidR="00DE17B1" w:rsidRPr="00DE17B1" w:rsidRDefault="00DE17B1" w:rsidP="00DE17B1">
            <w:pPr>
              <w:spacing w:before="240" w:after="240"/>
              <w:jc w:val="center"/>
              <w:rPr>
                <w:color w:val="010000"/>
              </w:rPr>
            </w:pPr>
            <w:r w:rsidRPr="00DE17B1">
              <w:rPr>
                <w:color w:val="010000"/>
                <w:szCs w:val="26"/>
              </w:rPr>
              <w:t>Üye</w:t>
            </w:r>
          </w:p>
          <w:p w:rsidR="00DE17B1" w:rsidRPr="00DE17B1" w:rsidRDefault="00DE17B1" w:rsidP="00DE17B1">
            <w:pPr>
              <w:spacing w:before="240" w:after="240"/>
              <w:jc w:val="center"/>
              <w:rPr>
                <w:color w:val="010000"/>
              </w:rPr>
            </w:pPr>
            <w:r w:rsidRPr="00DE17B1">
              <w:rPr>
                <w:color w:val="010000"/>
                <w:szCs w:val="26"/>
              </w:rPr>
              <w:t>Celal Mümtaz AKINCI</w:t>
            </w:r>
          </w:p>
        </w:tc>
        <w:tc>
          <w:tcPr>
            <w:tcW w:w="1667" w:type="pct"/>
            <w:tcMar>
              <w:top w:w="0" w:type="dxa"/>
              <w:left w:w="70" w:type="dxa"/>
              <w:bottom w:w="0" w:type="dxa"/>
              <w:right w:w="70" w:type="dxa"/>
            </w:tcMar>
            <w:hideMark/>
          </w:tcPr>
          <w:p w:rsidR="00DE17B1" w:rsidRPr="00DE17B1" w:rsidRDefault="00DE17B1" w:rsidP="00DE17B1">
            <w:pPr>
              <w:spacing w:before="240" w:after="240"/>
              <w:jc w:val="center"/>
              <w:rPr>
                <w:color w:val="010000"/>
              </w:rPr>
            </w:pPr>
            <w:r w:rsidRPr="00DE17B1">
              <w:rPr>
                <w:color w:val="010000"/>
                <w:szCs w:val="26"/>
              </w:rPr>
              <w:t>Üye</w:t>
            </w:r>
          </w:p>
          <w:p w:rsidR="00DE17B1" w:rsidRPr="00DE17B1" w:rsidRDefault="00DE17B1" w:rsidP="00DE17B1">
            <w:pPr>
              <w:spacing w:before="240" w:after="240"/>
              <w:jc w:val="center"/>
              <w:rPr>
                <w:color w:val="010000"/>
              </w:rPr>
            </w:pPr>
            <w:r w:rsidRPr="00DE17B1">
              <w:rPr>
                <w:color w:val="010000"/>
                <w:szCs w:val="26"/>
              </w:rPr>
              <w:t>Erdal TERCAN</w:t>
            </w:r>
          </w:p>
        </w:tc>
      </w:tr>
    </w:tbl>
    <w:p w:rsidR="00DE17B1" w:rsidRPr="00DE17B1" w:rsidRDefault="00DE17B1" w:rsidP="00DE17B1">
      <w:pPr>
        <w:spacing w:after="200"/>
        <w:ind w:right="283" w:firstLine="709"/>
        <w:jc w:val="both"/>
        <w:rPr>
          <w:color w:val="010000"/>
        </w:rPr>
      </w:pPr>
    </w:p>
    <w:tbl>
      <w:tblPr>
        <w:tblW w:w="5000" w:type="pct"/>
        <w:jc w:val="center"/>
        <w:tblCellMar>
          <w:left w:w="0" w:type="dxa"/>
          <w:right w:w="0" w:type="dxa"/>
        </w:tblCellMar>
        <w:tblLook w:val="04A0" w:firstRow="1" w:lastRow="0" w:firstColumn="1" w:lastColumn="0" w:noHBand="0" w:noVBand="1"/>
      </w:tblPr>
      <w:tblGrid>
        <w:gridCol w:w="3260"/>
        <w:gridCol w:w="3261"/>
        <w:gridCol w:w="3259"/>
      </w:tblGrid>
      <w:tr w:rsidR="00DE17B1" w:rsidRPr="00DE17B1" w:rsidTr="00DE17B1">
        <w:trPr>
          <w:jc w:val="center"/>
        </w:trPr>
        <w:tc>
          <w:tcPr>
            <w:tcW w:w="1667" w:type="pct"/>
            <w:tcMar>
              <w:top w:w="0" w:type="dxa"/>
              <w:left w:w="70" w:type="dxa"/>
              <w:bottom w:w="0" w:type="dxa"/>
              <w:right w:w="70" w:type="dxa"/>
            </w:tcMar>
            <w:hideMark/>
          </w:tcPr>
          <w:p w:rsidR="00DE17B1" w:rsidRPr="00DE17B1" w:rsidRDefault="00DE17B1" w:rsidP="00DE17B1">
            <w:pPr>
              <w:spacing w:before="240" w:after="240"/>
              <w:jc w:val="center"/>
              <w:rPr>
                <w:color w:val="010000"/>
              </w:rPr>
            </w:pPr>
            <w:bookmarkStart w:id="0" w:name="_GoBack"/>
            <w:bookmarkEnd w:id="0"/>
            <w:r w:rsidRPr="00DE17B1">
              <w:rPr>
                <w:color w:val="010000"/>
                <w:szCs w:val="26"/>
              </w:rPr>
              <w:t>Üye</w:t>
            </w:r>
          </w:p>
          <w:p w:rsidR="00DE17B1" w:rsidRPr="00DE17B1" w:rsidRDefault="00DE17B1" w:rsidP="00DE17B1">
            <w:pPr>
              <w:spacing w:before="240" w:after="240"/>
              <w:jc w:val="center"/>
              <w:rPr>
                <w:color w:val="010000"/>
              </w:rPr>
            </w:pPr>
            <w:r w:rsidRPr="00DE17B1">
              <w:rPr>
                <w:color w:val="010000"/>
                <w:szCs w:val="26"/>
              </w:rPr>
              <w:t>Muammer TOPAL</w:t>
            </w:r>
          </w:p>
        </w:tc>
        <w:tc>
          <w:tcPr>
            <w:tcW w:w="1667" w:type="pct"/>
            <w:tcMar>
              <w:top w:w="0" w:type="dxa"/>
              <w:left w:w="70" w:type="dxa"/>
              <w:bottom w:w="0" w:type="dxa"/>
              <w:right w:w="70" w:type="dxa"/>
            </w:tcMar>
            <w:hideMark/>
          </w:tcPr>
          <w:p w:rsidR="00DE17B1" w:rsidRPr="00DE17B1" w:rsidRDefault="00DE17B1" w:rsidP="00DE17B1">
            <w:pPr>
              <w:spacing w:before="240" w:after="240"/>
              <w:jc w:val="center"/>
              <w:rPr>
                <w:color w:val="010000"/>
              </w:rPr>
            </w:pPr>
            <w:r w:rsidRPr="00DE17B1">
              <w:rPr>
                <w:color w:val="010000"/>
                <w:szCs w:val="26"/>
              </w:rPr>
              <w:t>Üye</w:t>
            </w:r>
          </w:p>
          <w:p w:rsidR="00DE17B1" w:rsidRPr="00DE17B1" w:rsidRDefault="00DE17B1" w:rsidP="00DE17B1">
            <w:pPr>
              <w:spacing w:before="240" w:after="240"/>
              <w:jc w:val="center"/>
              <w:rPr>
                <w:color w:val="010000"/>
              </w:rPr>
            </w:pPr>
            <w:r w:rsidRPr="00DE17B1">
              <w:rPr>
                <w:color w:val="010000"/>
                <w:szCs w:val="26"/>
              </w:rPr>
              <w:t>Zühtü ARSLAN</w:t>
            </w:r>
          </w:p>
        </w:tc>
        <w:tc>
          <w:tcPr>
            <w:tcW w:w="1666" w:type="pct"/>
            <w:tcMar>
              <w:top w:w="0" w:type="dxa"/>
              <w:left w:w="70" w:type="dxa"/>
              <w:bottom w:w="0" w:type="dxa"/>
              <w:right w:w="70" w:type="dxa"/>
            </w:tcMar>
            <w:hideMark/>
          </w:tcPr>
          <w:p w:rsidR="00DE17B1" w:rsidRPr="00DE17B1" w:rsidRDefault="00DE17B1" w:rsidP="00DE17B1">
            <w:pPr>
              <w:spacing w:before="240" w:after="240"/>
              <w:jc w:val="center"/>
              <w:rPr>
                <w:color w:val="010000"/>
              </w:rPr>
            </w:pPr>
            <w:r w:rsidRPr="00DE17B1">
              <w:rPr>
                <w:color w:val="010000"/>
                <w:szCs w:val="26"/>
              </w:rPr>
              <w:t>Üye</w:t>
            </w:r>
          </w:p>
          <w:p w:rsidR="00DE17B1" w:rsidRPr="00DE17B1" w:rsidRDefault="00DE17B1" w:rsidP="00DE17B1">
            <w:pPr>
              <w:spacing w:before="240" w:after="240"/>
              <w:jc w:val="center"/>
              <w:rPr>
                <w:color w:val="010000"/>
              </w:rPr>
            </w:pPr>
            <w:r w:rsidRPr="00DE17B1">
              <w:rPr>
                <w:color w:val="010000"/>
                <w:szCs w:val="26"/>
              </w:rPr>
              <w:t>M. Emin KUZ</w:t>
            </w:r>
          </w:p>
        </w:tc>
      </w:tr>
    </w:tbl>
    <w:p w:rsidR="00DE17B1" w:rsidRPr="00DE17B1" w:rsidRDefault="00DE17B1" w:rsidP="00DE17B1">
      <w:pPr>
        <w:spacing w:after="200"/>
        <w:ind w:right="283" w:firstLine="709"/>
        <w:jc w:val="both"/>
        <w:rPr>
          <w:color w:val="010000"/>
        </w:rPr>
      </w:pPr>
    </w:p>
    <w:sectPr w:rsidR="00DE17B1" w:rsidRPr="00DE17B1" w:rsidSect="00DE17B1">
      <w:headerReference w:type="default" r:id="rId6"/>
      <w:footerReference w:type="even" r:id="rId7"/>
      <w:footerReference w:type="default" r:id="rId8"/>
      <w:pgSz w:w="11906" w:h="16838"/>
      <w:pgMar w:top="1417" w:right="992" w:bottom="1417" w:left="1134"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AE4F79" w:rsidRDefault="00AE4F79" w:rsidP="00DE17B1">
      <w:r>
        <w:separator/>
      </w:r>
    </w:p>
  </w:endnote>
  <w:endnote w:type="continuationSeparator" w:id="0">
    <w:p w:rsidR="00AE4F79" w:rsidRDefault="00AE4F79" w:rsidP="00DE17B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A2"/>
    <w:family w:val="swiss"/>
    <w:pitch w:val="variable"/>
    <w:sig w:usb0="E4002EFF" w:usb1="C000247B" w:usb2="00000009" w:usb3="00000000" w:csb0="000001FF" w:csb1="00000000"/>
  </w:font>
  <w:font w:name="Arial">
    <w:panose1 w:val="020B0604020202020204"/>
    <w:charset w:val="A2"/>
    <w:family w:val="swiss"/>
    <w:pitch w:val="variable"/>
    <w:sig w:usb0="E0002EFF" w:usb1="C000785B" w:usb2="00000009" w:usb3="00000000" w:csb0="000001FF" w:csb1="00000000"/>
  </w:font>
  <w:font w:name="Times New Roman">
    <w:panose1 w:val="02020603050405020304"/>
    <w:charset w:val="A2"/>
    <w:family w:val="roman"/>
    <w:pitch w:val="variable"/>
    <w:sig w:usb0="E0002EFF" w:usb1="C000785B" w:usb2="00000009" w:usb3="00000000" w:csb0="000001FF" w:csb1="00000000"/>
  </w:font>
  <w:font w:name="Calibri Light">
    <w:panose1 w:val="020F0302020204030204"/>
    <w:charset w:val="A2"/>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E17B1" w:rsidRDefault="00DE17B1" w:rsidP="00465FFF">
    <w:pPr>
      <w:pStyle w:val="AltBilgi"/>
      <w:framePr w:wrap="around" w:vAnchor="text" w:hAnchor="margin" w:xAlign="right" w:y="1"/>
      <w:rPr>
        <w:rStyle w:val="SayfaNumaras"/>
      </w:rPr>
    </w:pPr>
    <w:r>
      <w:rPr>
        <w:rStyle w:val="SayfaNumaras"/>
      </w:rPr>
      <w:fldChar w:fldCharType="begin"/>
    </w:r>
    <w:r>
      <w:rPr>
        <w:rStyle w:val="SayfaNumaras"/>
      </w:rPr>
      <w:instrText xml:space="preserve"> PAGE </w:instrText>
    </w:r>
    <w:r>
      <w:rPr>
        <w:rStyle w:val="SayfaNumaras"/>
      </w:rPr>
      <w:fldChar w:fldCharType="end"/>
    </w:r>
  </w:p>
  <w:p w:rsidR="00DE17B1" w:rsidRDefault="00DE17B1" w:rsidP="00DE17B1">
    <w:pPr>
      <w:pStyle w:val="AltBilgi"/>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E17B1" w:rsidRPr="00DE17B1" w:rsidRDefault="00DE17B1" w:rsidP="00465FFF">
    <w:pPr>
      <w:pStyle w:val="AltBilgi"/>
      <w:framePr w:wrap="around" w:vAnchor="text" w:hAnchor="margin" w:xAlign="right" w:y="1"/>
      <w:rPr>
        <w:rStyle w:val="SayfaNumaras"/>
      </w:rPr>
    </w:pPr>
    <w:r w:rsidRPr="00DE17B1">
      <w:rPr>
        <w:rStyle w:val="SayfaNumaras"/>
      </w:rPr>
      <w:fldChar w:fldCharType="begin"/>
    </w:r>
    <w:r w:rsidRPr="00DE17B1">
      <w:rPr>
        <w:rStyle w:val="SayfaNumaras"/>
      </w:rPr>
      <w:instrText xml:space="preserve"> PAGE </w:instrText>
    </w:r>
    <w:r w:rsidRPr="00DE17B1">
      <w:rPr>
        <w:rStyle w:val="SayfaNumaras"/>
      </w:rPr>
      <w:fldChar w:fldCharType="separate"/>
    </w:r>
    <w:r w:rsidRPr="00DE17B1">
      <w:rPr>
        <w:rStyle w:val="SayfaNumaras"/>
        <w:noProof/>
      </w:rPr>
      <w:t>1</w:t>
    </w:r>
    <w:r w:rsidRPr="00DE17B1">
      <w:rPr>
        <w:rStyle w:val="SayfaNumaras"/>
      </w:rPr>
      <w:fldChar w:fldCharType="end"/>
    </w:r>
  </w:p>
  <w:p w:rsidR="00DE17B1" w:rsidRDefault="00DE17B1" w:rsidP="00DE17B1">
    <w:pPr>
      <w:pStyle w:val="AltBilgi"/>
      <w:ind w:right="360"/>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AE4F79" w:rsidRDefault="00AE4F79" w:rsidP="00DE17B1">
      <w:r>
        <w:separator/>
      </w:r>
    </w:p>
  </w:footnote>
  <w:footnote w:type="continuationSeparator" w:id="0">
    <w:p w:rsidR="00AE4F79" w:rsidRDefault="00AE4F79" w:rsidP="00DE17B1">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E17B1" w:rsidRPr="00DE17B1" w:rsidRDefault="00DE17B1" w:rsidP="00DE17B1">
    <w:pPr>
      <w:pStyle w:val="stBilgi"/>
      <w:rPr>
        <w:b/>
      </w:rPr>
    </w:pPr>
    <w:r w:rsidRPr="00DE17B1">
      <w:rPr>
        <w:b/>
      </w:rPr>
      <w:t>Esas Sayısı:2012/55 (Siyasi Parti Mali Denetimi)</w:t>
    </w:r>
  </w:p>
  <w:p w:rsidR="00DE17B1" w:rsidRDefault="00DE17B1" w:rsidP="00DE17B1">
    <w:pPr>
      <w:pStyle w:val="stBilgi"/>
      <w:rPr>
        <w:b/>
      </w:rPr>
    </w:pPr>
    <w:r>
      <w:rPr>
        <w:b/>
      </w:rPr>
      <w:t>Karar Sayısı:2013/73</w:t>
    </w:r>
  </w:p>
  <w:p w:rsidR="00DE17B1" w:rsidRPr="00DE17B1" w:rsidRDefault="00DE17B1" w:rsidP="00DE17B1">
    <w:pPr>
      <w:pStyle w:val="stBilgi"/>
      <w:rPr>
        <w:b/>
      </w:rP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9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E17B1"/>
    <w:rsid w:val="00AE4F79"/>
    <w:rsid w:val="00D12EB3"/>
    <w:rsid w:val="00DE17B1"/>
  </w:rsids>
  <m:mathPr>
    <m:mathFont m:val="Cambria Math"/>
    <m:brkBin m:val="before"/>
    <m:brkBinSub m:val="--"/>
    <m:smallFrac m:val="0"/>
    <m:dispDef/>
    <m:lMargin m:val="0"/>
    <m:rMargin m:val="0"/>
    <m:defJc m:val="centerGroup"/>
    <m:wrapIndent m:val="1440"/>
    <m:intLim m:val="subSup"/>
    <m:naryLim m:val="undOvr"/>
  </m:mathPr>
  <w:themeFontLang w:val="tr-TR"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7C603446-89E7-4730-ADED-832B89CBD27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DE17B1"/>
    <w:pPr>
      <w:spacing w:after="0" w:line="240" w:lineRule="auto"/>
    </w:pPr>
    <w:rPr>
      <w:rFonts w:ascii="Times New Roman" w:eastAsiaTheme="minorEastAsia" w:hAnsi="Times New Roman" w:cs="Times New Roman"/>
      <w:sz w:val="24"/>
      <w:szCs w:val="24"/>
      <w:lang w:eastAsia="tr-TR"/>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stBilgi">
    <w:name w:val="header"/>
    <w:basedOn w:val="Normal"/>
    <w:link w:val="stBilgiChar"/>
    <w:uiPriority w:val="99"/>
    <w:unhideWhenUsed/>
    <w:rsid w:val="00DE17B1"/>
    <w:pPr>
      <w:tabs>
        <w:tab w:val="center" w:pos="4536"/>
        <w:tab w:val="right" w:pos="9072"/>
      </w:tabs>
    </w:pPr>
  </w:style>
  <w:style w:type="character" w:customStyle="1" w:styleId="stBilgiChar">
    <w:name w:val="Üst Bilgi Char"/>
    <w:basedOn w:val="VarsaylanParagrafYazTipi"/>
    <w:link w:val="stBilgi"/>
    <w:uiPriority w:val="99"/>
    <w:rsid w:val="00DE17B1"/>
    <w:rPr>
      <w:rFonts w:ascii="Times New Roman" w:eastAsiaTheme="minorEastAsia" w:hAnsi="Times New Roman" w:cs="Times New Roman"/>
      <w:sz w:val="24"/>
      <w:szCs w:val="24"/>
      <w:lang w:eastAsia="tr-TR"/>
    </w:rPr>
  </w:style>
  <w:style w:type="paragraph" w:styleId="AltBilgi">
    <w:name w:val="footer"/>
    <w:basedOn w:val="Normal"/>
    <w:link w:val="AltBilgiChar"/>
    <w:uiPriority w:val="99"/>
    <w:unhideWhenUsed/>
    <w:rsid w:val="00DE17B1"/>
    <w:pPr>
      <w:tabs>
        <w:tab w:val="center" w:pos="4536"/>
        <w:tab w:val="right" w:pos="9072"/>
      </w:tabs>
    </w:pPr>
  </w:style>
  <w:style w:type="character" w:customStyle="1" w:styleId="AltBilgiChar">
    <w:name w:val="Alt Bilgi Char"/>
    <w:basedOn w:val="VarsaylanParagrafYazTipi"/>
    <w:link w:val="AltBilgi"/>
    <w:uiPriority w:val="99"/>
    <w:rsid w:val="00DE17B1"/>
    <w:rPr>
      <w:rFonts w:ascii="Times New Roman" w:eastAsiaTheme="minorEastAsia" w:hAnsi="Times New Roman" w:cs="Times New Roman"/>
      <w:sz w:val="24"/>
      <w:szCs w:val="24"/>
      <w:lang w:eastAsia="tr-TR"/>
    </w:rPr>
  </w:style>
  <w:style w:type="character" w:styleId="SayfaNumaras">
    <w:name w:val="page number"/>
    <w:basedOn w:val="VarsaylanParagrafYazTipi"/>
    <w:uiPriority w:val="99"/>
    <w:semiHidden/>
    <w:unhideWhenUsed/>
    <w:rsid w:val="00DE17B1"/>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doNotOrganizeInFolder/>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3</Pages>
  <Words>719</Words>
  <Characters>4102</Characters>
  <Application>Microsoft Office Word</Application>
  <DocSecurity>0</DocSecurity>
  <Lines>34</Lines>
  <Paragraphs>9</Paragraphs>
  <ScaleCrop>false</ScaleCrop>
  <Company/>
  <LinksUpToDate>false</LinksUpToDate>
  <CharactersWithSpaces>4812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Samil ESSIZ</dc:creator>
  <cp:keywords/>
  <dc:description/>
  <cp:lastModifiedBy>Samil ESSIZ</cp:lastModifiedBy>
  <cp:revision>1</cp:revision>
  <dcterms:created xsi:type="dcterms:W3CDTF">2020-06-14T15:10:00Z</dcterms:created>
  <dcterms:modified xsi:type="dcterms:W3CDTF">2020-06-14T15:11:00Z</dcterms:modified>
</cp:coreProperties>
</file>