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DD5" w:rsidRDefault="000F7DD5" w:rsidP="000F7DD5">
      <w:pPr>
        <w:spacing w:after="200"/>
        <w:ind w:right="283"/>
        <w:jc w:val="center"/>
        <w:rPr>
          <w:b/>
          <w:bCs/>
          <w:caps/>
          <w:color w:val="010000"/>
          <w:szCs w:val="26"/>
        </w:rPr>
      </w:pPr>
      <w:r w:rsidRPr="000F7DD5">
        <w:rPr>
          <w:b/>
          <w:caps/>
          <w:color w:val="010000"/>
          <w:szCs w:val="20"/>
        </w:rPr>
        <w:pict/>
      </w:r>
      <w:r w:rsidRPr="000F7DD5">
        <w:rPr>
          <w:b/>
          <w:caps/>
          <w:color w:val="010000"/>
          <w:szCs w:val="20"/>
        </w:rPr>
        <w:pict/>
      </w:r>
      <w:r w:rsidRPr="000F7DD5">
        <w:rPr>
          <w:b/>
          <w:caps/>
          <w:color w:val="010000"/>
          <w:szCs w:val="20"/>
        </w:rPr>
        <w:pict/>
      </w:r>
      <w:r w:rsidRPr="000F7DD5">
        <w:rPr>
          <w:b/>
          <w:caps/>
          <w:color w:val="010000"/>
          <w:szCs w:val="26"/>
        </w:rPr>
        <w:t xml:space="preserve"> </w:t>
      </w:r>
      <w:r w:rsidRPr="000F7DD5">
        <w:rPr>
          <w:b/>
          <w:bCs/>
          <w:caps/>
          <w:color w:val="010000"/>
          <w:szCs w:val="26"/>
        </w:rPr>
        <w:t>ANAYASA MAHKEMESİ KARARI</w:t>
      </w:r>
    </w:p>
    <w:p w:rsidR="000F7DD5" w:rsidRPr="000F7DD5" w:rsidRDefault="000F7DD5" w:rsidP="000F7DD5">
      <w:pPr>
        <w:spacing w:after="200"/>
        <w:ind w:right="283" w:firstLine="709"/>
        <w:jc w:val="center"/>
        <w:rPr>
          <w:b/>
          <w:caps/>
          <w:color w:val="010000"/>
        </w:rPr>
      </w:pPr>
    </w:p>
    <w:p w:rsidR="000F7DD5" w:rsidRDefault="000F7DD5" w:rsidP="000F7DD5">
      <w:pPr>
        <w:pStyle w:val="NormalWeb"/>
        <w:spacing w:before="0" w:beforeAutospacing="0" w:after="0"/>
        <w:rPr>
          <w:b/>
          <w:bCs/>
          <w:color w:val="010000"/>
          <w:szCs w:val="26"/>
        </w:rPr>
      </w:pPr>
      <w:r>
        <w:rPr>
          <w:b/>
          <w:bCs/>
          <w:color w:val="010000"/>
          <w:szCs w:val="26"/>
        </w:rPr>
        <w:t>Esas Sayısı:2012/49 (Siyasi Parti Mali Denetimi)</w:t>
      </w:r>
    </w:p>
    <w:p w:rsidR="000F7DD5" w:rsidRDefault="000F7DD5" w:rsidP="000F7DD5">
      <w:pPr>
        <w:pStyle w:val="NormalWeb"/>
        <w:spacing w:before="0" w:beforeAutospacing="0" w:after="0"/>
        <w:rPr>
          <w:b/>
          <w:color w:val="010000"/>
        </w:rPr>
      </w:pPr>
      <w:r>
        <w:rPr>
          <w:b/>
          <w:color w:val="010000"/>
        </w:rPr>
        <w:t>Karar Sayısı:2013/7</w:t>
      </w:r>
    </w:p>
    <w:p w:rsidR="000F7DD5" w:rsidRDefault="000F7DD5" w:rsidP="000F7DD5">
      <w:pPr>
        <w:pStyle w:val="NormalWeb"/>
        <w:spacing w:before="0" w:beforeAutospacing="0" w:after="0"/>
        <w:rPr>
          <w:b/>
          <w:color w:val="010000"/>
        </w:rPr>
      </w:pPr>
      <w:r>
        <w:rPr>
          <w:b/>
          <w:color w:val="010000"/>
        </w:rPr>
        <w:t>Karar Günü:3.1.2013</w:t>
      </w:r>
    </w:p>
    <w:p w:rsidR="000F7DD5" w:rsidRDefault="000F7DD5" w:rsidP="000F7DD5">
      <w:pPr>
        <w:pStyle w:val="NormalWeb"/>
        <w:spacing w:before="0" w:beforeAutospacing="0" w:after="0"/>
        <w:rPr>
          <w:b/>
          <w:color w:val="010000"/>
        </w:rPr>
      </w:pPr>
      <w:r>
        <w:rPr>
          <w:b/>
          <w:color w:val="010000"/>
        </w:rPr>
        <w:t>R.G. Tarih-Sayı:19.01.2013-28533</w:t>
      </w:r>
    </w:p>
    <w:p w:rsidR="000F7DD5" w:rsidRPr="000F7DD5" w:rsidRDefault="000F7DD5" w:rsidP="000F7DD5">
      <w:pPr>
        <w:pStyle w:val="NormalWeb"/>
        <w:spacing w:before="0" w:beforeAutospacing="0" w:after="0"/>
        <w:rPr>
          <w:b/>
          <w:color w:val="010000"/>
        </w:rPr>
      </w:pP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I- MALİ DENETİMİN KONUSU</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Türkiye Komünist Partisinin 2011 yılı kesin hesabının incelenmesidir.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II- İLK İNCELEME</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Türkiye Komünist Partisinin 2011 yılı kesin hesabının incelenmesi sonucunda, dosyada eksiklik bulunmadığından işin esasının incelenmesine OYBİRLİĞİYLE karar verilmiştir.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III- ESASIN İNCELENMESİ</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Türkiye Komünist Partisinin, Anayasa Mahkemesine verdiği 2011 yılı kesin hesap çizelgeleri ile dayanağını oluşturan defter ve belgeler üzerinde yapılan inceleme sonuçlarını içeren ve Anayasa Mahkemesi Raportörü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Denetimin maddi öğelerini oluşturan defter ve belgelerde Partinin Genel Merkezi ile il örgütlerinin 2011 yılı gelirlerinin 1.408.963,66 TL, giderlerinin 1.393.742,21 TL olduğu, 15.221,45 TL'nin ise kasa ve banka mevcudu olarak 2012 yılına devredildiği anlaşılmaktadır.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 xml:space="preserve">Partinin 2011 yılı kesin hesabının, Parti Merkez Komitesince 25.6.2012 tarihinde kabul edilerek onaylandığı görülmüştür. </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A-</w:t>
      </w:r>
      <w:r w:rsidRPr="000F7DD5">
        <w:rPr>
          <w:color w:val="010000"/>
          <w:szCs w:val="26"/>
        </w:rPr>
        <w:t xml:space="preserve"> </w:t>
      </w:r>
      <w:r w:rsidRPr="000F7DD5">
        <w:rPr>
          <w:b/>
          <w:bCs/>
          <w:color w:val="010000"/>
          <w:szCs w:val="26"/>
        </w:rPr>
        <w:t>Gelirlerin İncelenmesi</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1- Genel Merkez Gelirleri</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Partinin Genel Merkez gelirleri, 154.648,47 TL olarak gösterilmiştir.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 xml:space="preserve">Bunun 140.187,47 TL'si teşkilatlardan aktarılan gelirler, 14.461,00 TL'si ise 2010 yılından devreden nakit mevcudundan oluşmaktadır. </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 Genel Merkezinin defter kayıtları ve gelir belgeleri üzerinde yapılan incelemede, gelirlerin 2820 sayılı Kanun'a uygun olarak sağlandığı sonucuna varılmıştır.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2- İl Örgütleri Gelirleri</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 il örgütlerinin gelirleri 1.254.315,19 TL olarak gösterilmiştir.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lastRenderedPageBreak/>
        <w:t>Bunun 1.141.950,00 TL'si aidat gelirleri, 112.365,19 TL'si ise genel merkezden gönderilen yardımlardan oluşmaktadır.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 il örgütlerinin kesin hesap çizelgelerinin gelir bölümünde yapılan incelemede, gelirlerin 2820 sayılı Kanun'a uygun olduğu sonucuna varılmıştır.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B- Giderlerin İncelenmesi</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1- Genel Merkez Giderleri</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Partinin Genel Merkez giderleri 139.517,02 TL olarak gösterilmiştir.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Bunun 27.061,83 TL'si genel yönetim giderleri, 112.365,19 TL'si ise teşkilatlara yapılan yardımlardan oluşmaktadır.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 Genel Merkezinin 2012 yılına devreden nakit mevcudu 15.221,45 TL'dir.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 Genel Merkezinin defter kayıtları ve gider belgeleri üzerinde yapılan incelemede, giderlerin 2820 sayılı Kanun'a uygun olarak gerçekleştirildiği sonucuna varılmıştır.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2- İl Örgütleri Giderleri</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 il örgütlerinin giderleri 1.254.315,19 TL olarak gösterilmiştir.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Bunun 1.114.127,72 TL'si genel yönetim giderleri, 140.187,47 TL'si ise genel merkeze gönderilen paylardan oluşmaktadır.</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 il örgütlerinin kesin hesap çizelgelerinin gider bölümleri üzerinde yapılan incelemede, giderlerin 2820 sayılı Kanun'a uygun olduğu sonucuna varılmıştır.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C- Parti Malları</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Partinin 2011 yılı defter ve belgeleri üzerinde yapılan incelemede, 2011 yılında herhangi bir taşınmaz mal ve değeri yüz lirayı aşan taşınır mal ve menkul kıymet ediniminin olmadığı anlaşılmıştır.</w:t>
      </w:r>
    </w:p>
    <w:p w:rsidR="000F7DD5" w:rsidRPr="000F7DD5" w:rsidRDefault="000F7DD5" w:rsidP="000F7DD5">
      <w:pPr>
        <w:pStyle w:val="NormalWeb"/>
        <w:spacing w:before="0" w:beforeAutospacing="0" w:after="200"/>
        <w:ind w:right="283" w:firstLine="709"/>
        <w:jc w:val="both"/>
        <w:rPr>
          <w:color w:val="010000"/>
        </w:rPr>
      </w:pPr>
      <w:r w:rsidRPr="000F7DD5">
        <w:rPr>
          <w:b/>
          <w:bCs/>
          <w:color w:val="010000"/>
          <w:szCs w:val="26"/>
        </w:rPr>
        <w:t>IV- SONUÇ</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Türkiye Komünist Partisinin 2011 yılı kesin hesabının incelenmesi sonucunda;</w:t>
      </w:r>
    </w:p>
    <w:p w:rsidR="000F7DD5" w:rsidRPr="000F7DD5" w:rsidRDefault="000F7DD5" w:rsidP="000F7DD5">
      <w:pPr>
        <w:pStyle w:val="NormalWeb"/>
        <w:spacing w:before="0" w:beforeAutospacing="0" w:after="200"/>
        <w:ind w:right="283" w:firstLine="709"/>
        <w:jc w:val="both"/>
        <w:rPr>
          <w:color w:val="010000"/>
        </w:rPr>
      </w:pPr>
      <w:r w:rsidRPr="000F7DD5">
        <w:rPr>
          <w:color w:val="010000"/>
          <w:szCs w:val="26"/>
        </w:rPr>
        <w:t>Partinin 2011 yılı kesin hesabında gösterilen 1.408.963,66 TL gelir ve 1.393.742,21 TL gider ile 15.221,45 TL nakit devrinin eldeki bilgi ve belgelere göre doğru, denk ve 2820 sayılı Siyasi Partiler Kanunu'na uygun olduğuna, 3.1.2013 gününde OYBİRLİĞİYLE karar verildi.</w:t>
      </w:r>
    </w:p>
    <w:p w:rsidR="000F7DD5" w:rsidRPr="000F7DD5" w:rsidRDefault="000F7DD5" w:rsidP="000F7DD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F7DD5" w:rsidRPr="000F7DD5" w:rsidTr="000F7DD5">
        <w:trPr>
          <w:jc w:val="center"/>
        </w:trPr>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Başkan</w:t>
            </w:r>
          </w:p>
          <w:p w:rsidR="000F7DD5" w:rsidRPr="000F7DD5" w:rsidRDefault="000F7DD5" w:rsidP="000F7DD5">
            <w:pPr>
              <w:spacing w:before="240" w:after="240"/>
              <w:jc w:val="center"/>
              <w:rPr>
                <w:color w:val="010000"/>
              </w:rPr>
            </w:pPr>
            <w:r w:rsidRPr="000F7DD5">
              <w:rPr>
                <w:color w:val="010000"/>
                <w:szCs w:val="26"/>
              </w:rPr>
              <w:t>Haşim KILIÇ</w:t>
            </w:r>
          </w:p>
        </w:tc>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Başkanvekili</w:t>
            </w:r>
          </w:p>
          <w:p w:rsidR="000F7DD5" w:rsidRPr="000F7DD5" w:rsidRDefault="000F7DD5" w:rsidP="000F7DD5">
            <w:pPr>
              <w:spacing w:before="240" w:after="240"/>
              <w:jc w:val="center"/>
              <w:rPr>
                <w:color w:val="010000"/>
              </w:rPr>
            </w:pPr>
            <w:proofErr w:type="spellStart"/>
            <w:r w:rsidRPr="000F7DD5">
              <w:rPr>
                <w:color w:val="010000"/>
                <w:szCs w:val="26"/>
              </w:rPr>
              <w:t>Serruh</w:t>
            </w:r>
            <w:proofErr w:type="spellEnd"/>
            <w:r w:rsidRPr="000F7DD5">
              <w:rPr>
                <w:color w:val="010000"/>
                <w:szCs w:val="26"/>
              </w:rPr>
              <w:t xml:space="preserve"> KALELİ</w:t>
            </w:r>
          </w:p>
        </w:tc>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Başkanvekili</w:t>
            </w:r>
          </w:p>
          <w:p w:rsidR="000F7DD5" w:rsidRPr="000F7DD5" w:rsidRDefault="000F7DD5" w:rsidP="000F7DD5">
            <w:pPr>
              <w:spacing w:before="240" w:after="240"/>
              <w:jc w:val="center"/>
              <w:rPr>
                <w:color w:val="010000"/>
              </w:rPr>
            </w:pPr>
            <w:r w:rsidRPr="000F7DD5">
              <w:rPr>
                <w:color w:val="010000"/>
                <w:szCs w:val="26"/>
              </w:rPr>
              <w:t>Alparslan ALTAN</w:t>
            </w:r>
          </w:p>
        </w:tc>
      </w:tr>
    </w:tbl>
    <w:p w:rsidR="000F7DD5" w:rsidRPr="000F7DD5" w:rsidRDefault="000F7DD5" w:rsidP="000F7DD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F7DD5" w:rsidRPr="000F7DD5" w:rsidTr="000F7DD5">
        <w:trPr>
          <w:jc w:val="center"/>
        </w:trPr>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lastRenderedPageBreak/>
              <w:t>Mehmet ERTEN</w:t>
            </w:r>
          </w:p>
        </w:tc>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lastRenderedPageBreak/>
              <w:t>Üye</w:t>
            </w:r>
          </w:p>
          <w:p w:rsidR="000F7DD5" w:rsidRPr="000F7DD5" w:rsidRDefault="000F7DD5" w:rsidP="000F7DD5">
            <w:pPr>
              <w:spacing w:before="240" w:after="240"/>
              <w:jc w:val="center"/>
              <w:rPr>
                <w:color w:val="010000"/>
              </w:rPr>
            </w:pPr>
            <w:r w:rsidRPr="000F7DD5">
              <w:rPr>
                <w:color w:val="010000"/>
                <w:szCs w:val="26"/>
              </w:rPr>
              <w:lastRenderedPageBreak/>
              <w:t>Serdar ÖZGÜLDÜR</w:t>
            </w:r>
          </w:p>
        </w:tc>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lastRenderedPageBreak/>
              <w:t>Üye</w:t>
            </w:r>
          </w:p>
          <w:p w:rsidR="000F7DD5" w:rsidRPr="000F7DD5" w:rsidRDefault="000F7DD5" w:rsidP="000F7DD5">
            <w:pPr>
              <w:spacing w:before="240" w:after="240"/>
              <w:jc w:val="center"/>
              <w:rPr>
                <w:color w:val="010000"/>
              </w:rPr>
            </w:pPr>
            <w:r w:rsidRPr="000F7DD5">
              <w:rPr>
                <w:color w:val="010000"/>
                <w:szCs w:val="26"/>
              </w:rPr>
              <w:lastRenderedPageBreak/>
              <w:t xml:space="preserve">Osman </w:t>
            </w:r>
            <w:proofErr w:type="spellStart"/>
            <w:r w:rsidRPr="000F7DD5">
              <w:rPr>
                <w:color w:val="010000"/>
                <w:szCs w:val="26"/>
              </w:rPr>
              <w:t>Alifeyyaz</w:t>
            </w:r>
            <w:proofErr w:type="spellEnd"/>
            <w:r w:rsidRPr="000F7DD5">
              <w:rPr>
                <w:color w:val="010000"/>
                <w:szCs w:val="26"/>
              </w:rPr>
              <w:t xml:space="preserve"> PAKSÜT</w:t>
            </w:r>
          </w:p>
        </w:tc>
      </w:tr>
    </w:tbl>
    <w:p w:rsidR="000F7DD5" w:rsidRPr="000F7DD5" w:rsidRDefault="000F7DD5" w:rsidP="000F7DD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F7DD5" w:rsidRPr="000F7DD5" w:rsidTr="000F7DD5">
        <w:trPr>
          <w:jc w:val="center"/>
        </w:trPr>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Zehra Ayla PERKTAŞ</w:t>
            </w:r>
          </w:p>
        </w:tc>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Recep KÖMÜRCÜ</w:t>
            </w:r>
          </w:p>
        </w:tc>
        <w:tc>
          <w:tcPr>
            <w:tcW w:w="1667"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Burhan ÜSTÜN</w:t>
            </w:r>
          </w:p>
        </w:tc>
      </w:tr>
    </w:tbl>
    <w:p w:rsidR="000F7DD5" w:rsidRPr="000F7DD5" w:rsidRDefault="000F7DD5" w:rsidP="000F7DD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0F7DD5" w:rsidRPr="000F7DD5" w:rsidTr="000F7DD5">
        <w:trPr>
          <w:jc w:val="center"/>
        </w:trPr>
        <w:tc>
          <w:tcPr>
            <w:tcW w:w="1660"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Engin YILDIRIM</w:t>
            </w:r>
          </w:p>
        </w:tc>
        <w:tc>
          <w:tcPr>
            <w:tcW w:w="1718"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Nuri NECİPOĞLU</w:t>
            </w:r>
          </w:p>
        </w:tc>
        <w:tc>
          <w:tcPr>
            <w:tcW w:w="1622"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Celal Mümtaz AKINCI</w:t>
            </w:r>
          </w:p>
        </w:tc>
      </w:tr>
    </w:tbl>
    <w:p w:rsidR="000F7DD5" w:rsidRPr="000F7DD5" w:rsidRDefault="000F7DD5" w:rsidP="000F7DD5">
      <w:pPr>
        <w:spacing w:after="200"/>
        <w:ind w:right="283" w:firstLine="709"/>
        <w:jc w:val="both"/>
        <w:rPr>
          <w:color w:val="010000"/>
        </w:rPr>
      </w:pPr>
    </w:p>
    <w:p w:rsidR="000F7DD5" w:rsidRDefault="000F7DD5">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0F7DD5" w:rsidRPr="000F7DD5" w:rsidTr="000F7DD5">
        <w:trPr>
          <w:jc w:val="center"/>
        </w:trPr>
        <w:tc>
          <w:tcPr>
            <w:tcW w:w="1660"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Erdal TERCAN</w:t>
            </w:r>
          </w:p>
        </w:tc>
        <w:tc>
          <w:tcPr>
            <w:tcW w:w="1718"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Muammer TOPAL</w:t>
            </w:r>
          </w:p>
        </w:tc>
        <w:tc>
          <w:tcPr>
            <w:tcW w:w="1622" w:type="pct"/>
            <w:tcMar>
              <w:top w:w="0" w:type="dxa"/>
              <w:left w:w="70" w:type="dxa"/>
              <w:bottom w:w="0" w:type="dxa"/>
              <w:right w:w="70" w:type="dxa"/>
            </w:tcMar>
            <w:hideMark/>
          </w:tcPr>
          <w:p w:rsidR="000F7DD5" w:rsidRPr="000F7DD5" w:rsidRDefault="000F7DD5" w:rsidP="000F7DD5">
            <w:pPr>
              <w:spacing w:before="240" w:after="240"/>
              <w:jc w:val="center"/>
              <w:rPr>
                <w:color w:val="010000"/>
              </w:rPr>
            </w:pPr>
            <w:r w:rsidRPr="000F7DD5">
              <w:rPr>
                <w:color w:val="010000"/>
                <w:szCs w:val="26"/>
              </w:rPr>
              <w:t>Üye</w:t>
            </w:r>
          </w:p>
          <w:p w:rsidR="000F7DD5" w:rsidRPr="000F7DD5" w:rsidRDefault="000F7DD5" w:rsidP="000F7DD5">
            <w:pPr>
              <w:spacing w:before="240" w:after="240"/>
              <w:jc w:val="center"/>
              <w:rPr>
                <w:color w:val="010000"/>
              </w:rPr>
            </w:pPr>
            <w:r w:rsidRPr="000F7DD5">
              <w:rPr>
                <w:color w:val="010000"/>
                <w:szCs w:val="26"/>
              </w:rPr>
              <w:t>Zühtü ARSLAN</w:t>
            </w:r>
          </w:p>
        </w:tc>
      </w:tr>
    </w:tbl>
    <w:p w:rsidR="000F7DD5" w:rsidRPr="000F7DD5" w:rsidRDefault="000F7DD5" w:rsidP="000F7DD5">
      <w:pPr>
        <w:spacing w:after="200"/>
        <w:ind w:right="283" w:firstLine="709"/>
        <w:jc w:val="both"/>
        <w:rPr>
          <w:color w:val="010000"/>
        </w:rPr>
      </w:pPr>
    </w:p>
    <w:sectPr w:rsidR="000F7DD5" w:rsidRPr="000F7DD5" w:rsidSect="000F7DD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415" w:rsidRDefault="00B13415" w:rsidP="000F7DD5">
      <w:r>
        <w:separator/>
      </w:r>
    </w:p>
  </w:endnote>
  <w:endnote w:type="continuationSeparator" w:id="0">
    <w:p w:rsidR="00B13415" w:rsidRDefault="00B13415" w:rsidP="000F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D5" w:rsidRDefault="000F7DD5"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F7DD5" w:rsidRDefault="000F7DD5" w:rsidP="000F7D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D5" w:rsidRPr="000F7DD5" w:rsidRDefault="000F7DD5" w:rsidP="00465FFF">
    <w:pPr>
      <w:pStyle w:val="AltBilgi"/>
      <w:framePr w:wrap="around" w:vAnchor="text" w:hAnchor="margin" w:xAlign="right" w:y="1"/>
      <w:rPr>
        <w:rStyle w:val="SayfaNumaras"/>
      </w:rPr>
    </w:pPr>
    <w:r w:rsidRPr="000F7DD5">
      <w:rPr>
        <w:rStyle w:val="SayfaNumaras"/>
      </w:rPr>
      <w:fldChar w:fldCharType="begin"/>
    </w:r>
    <w:r w:rsidRPr="000F7DD5">
      <w:rPr>
        <w:rStyle w:val="SayfaNumaras"/>
      </w:rPr>
      <w:instrText xml:space="preserve"> PAGE </w:instrText>
    </w:r>
    <w:r w:rsidRPr="000F7DD5">
      <w:rPr>
        <w:rStyle w:val="SayfaNumaras"/>
      </w:rPr>
      <w:fldChar w:fldCharType="separate"/>
    </w:r>
    <w:r w:rsidRPr="000F7DD5">
      <w:rPr>
        <w:rStyle w:val="SayfaNumaras"/>
        <w:noProof/>
      </w:rPr>
      <w:t>1</w:t>
    </w:r>
    <w:r w:rsidRPr="000F7DD5">
      <w:rPr>
        <w:rStyle w:val="SayfaNumaras"/>
      </w:rPr>
      <w:fldChar w:fldCharType="end"/>
    </w:r>
  </w:p>
  <w:p w:rsidR="000F7DD5" w:rsidRDefault="000F7DD5" w:rsidP="000F7DD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415" w:rsidRDefault="00B13415" w:rsidP="000F7DD5">
      <w:r>
        <w:separator/>
      </w:r>
    </w:p>
  </w:footnote>
  <w:footnote w:type="continuationSeparator" w:id="0">
    <w:p w:rsidR="00B13415" w:rsidRDefault="00B13415" w:rsidP="000F7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D5" w:rsidRPr="000F7DD5" w:rsidRDefault="000F7DD5" w:rsidP="000F7DD5">
    <w:pPr>
      <w:pStyle w:val="stBilgi"/>
      <w:rPr>
        <w:b/>
      </w:rPr>
    </w:pPr>
    <w:r w:rsidRPr="000F7DD5">
      <w:rPr>
        <w:b/>
      </w:rPr>
      <w:t>Esas Sayısı:2012/49 (Siyasi Parti Mali Denetimi)</w:t>
    </w:r>
  </w:p>
  <w:p w:rsidR="000F7DD5" w:rsidRDefault="000F7DD5" w:rsidP="000F7DD5">
    <w:pPr>
      <w:pStyle w:val="stBilgi"/>
      <w:rPr>
        <w:b/>
      </w:rPr>
    </w:pPr>
    <w:r>
      <w:rPr>
        <w:b/>
      </w:rPr>
      <w:t>Karar Sayısı:2013/7</w:t>
    </w:r>
  </w:p>
  <w:p w:rsidR="000F7DD5" w:rsidRPr="000F7DD5" w:rsidRDefault="000F7DD5" w:rsidP="000F7DD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D5"/>
    <w:rsid w:val="000F7DD5"/>
    <w:rsid w:val="00B1341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4CC0A-66F2-40FD-8198-68E4F39F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DD5"/>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7DD5"/>
    <w:pPr>
      <w:spacing w:before="100" w:beforeAutospacing="1" w:after="119"/>
    </w:pPr>
  </w:style>
  <w:style w:type="paragraph" w:styleId="stBilgi">
    <w:name w:val="header"/>
    <w:basedOn w:val="Normal"/>
    <w:link w:val="stBilgiChar"/>
    <w:uiPriority w:val="99"/>
    <w:unhideWhenUsed/>
    <w:rsid w:val="000F7DD5"/>
    <w:pPr>
      <w:tabs>
        <w:tab w:val="center" w:pos="4536"/>
        <w:tab w:val="right" w:pos="9072"/>
      </w:tabs>
    </w:pPr>
  </w:style>
  <w:style w:type="character" w:customStyle="1" w:styleId="stBilgiChar">
    <w:name w:val="Üst Bilgi Char"/>
    <w:basedOn w:val="VarsaylanParagrafYazTipi"/>
    <w:link w:val="stBilgi"/>
    <w:uiPriority w:val="99"/>
    <w:rsid w:val="000F7DD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F7DD5"/>
    <w:pPr>
      <w:tabs>
        <w:tab w:val="center" w:pos="4536"/>
        <w:tab w:val="right" w:pos="9072"/>
      </w:tabs>
    </w:pPr>
  </w:style>
  <w:style w:type="character" w:customStyle="1" w:styleId="AltBilgiChar">
    <w:name w:val="Alt Bilgi Char"/>
    <w:basedOn w:val="VarsaylanParagrafYazTipi"/>
    <w:link w:val="AltBilgi"/>
    <w:uiPriority w:val="99"/>
    <w:rsid w:val="000F7DD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F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2020-06-14T13:08:00Z</dcterms:created>
  <dcterms:modified xsi:type="dcterms:W3CDTF">2020-06-14T13:09:00Z</dcterms:modified>
</cp:coreProperties>
</file>