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8DB" w:rsidRDefault="005C48DB" w:rsidP="005C48DB">
      <w:pPr>
        <w:spacing w:after="200"/>
        <w:ind w:left="283" w:right="283"/>
        <w:jc w:val="center"/>
        <w:rPr>
          <w:b/>
          <w:bCs/>
          <w:caps/>
          <w:color w:val="010000"/>
          <w:szCs w:val="26"/>
        </w:rPr>
      </w:pPr>
      <w:r w:rsidRPr="005C48DB">
        <w:rPr>
          <w:b/>
          <w:bCs/>
          <w:caps/>
          <w:color w:val="010000"/>
          <w:szCs w:val="26"/>
        </w:rPr>
        <w:t>ANAYASA MAHKEMESİ KARARI</w:t>
      </w:r>
    </w:p>
    <w:p w:rsidR="005C48DB" w:rsidRPr="005C48DB" w:rsidRDefault="005C48DB" w:rsidP="005C48DB">
      <w:pPr>
        <w:spacing w:after="200"/>
        <w:ind w:left="283" w:right="283" w:firstLine="709"/>
        <w:jc w:val="center"/>
        <w:rPr>
          <w:b/>
          <w:caps/>
          <w:color w:val="010000"/>
        </w:rPr>
      </w:pPr>
    </w:p>
    <w:p w:rsidR="005C48DB" w:rsidRDefault="005C48DB" w:rsidP="005C48DB">
      <w:pPr>
        <w:rPr>
          <w:b/>
          <w:bCs/>
          <w:color w:val="010000"/>
          <w:szCs w:val="26"/>
        </w:rPr>
      </w:pPr>
      <w:r>
        <w:rPr>
          <w:b/>
          <w:bCs/>
          <w:color w:val="010000"/>
          <w:szCs w:val="26"/>
        </w:rPr>
        <w:t>Esas Sayısı:2010/23 (Siyasî Parti Malî Denetimi)</w:t>
      </w:r>
    </w:p>
    <w:p w:rsidR="005C48DB" w:rsidRDefault="005C48DB" w:rsidP="005C48DB">
      <w:pPr>
        <w:rPr>
          <w:b/>
          <w:color w:val="010000"/>
        </w:rPr>
      </w:pPr>
      <w:r>
        <w:rPr>
          <w:b/>
          <w:color w:val="010000"/>
        </w:rPr>
        <w:t>Karar Sayısı:2011/32</w:t>
      </w:r>
    </w:p>
    <w:p w:rsidR="005C48DB" w:rsidRDefault="005C48DB" w:rsidP="005C48DB">
      <w:pPr>
        <w:rPr>
          <w:b/>
          <w:color w:val="010000"/>
        </w:rPr>
      </w:pPr>
      <w:r>
        <w:rPr>
          <w:b/>
          <w:color w:val="010000"/>
        </w:rPr>
        <w:t>Karar Günü:28.9.2011</w:t>
      </w:r>
    </w:p>
    <w:p w:rsidR="005C48DB" w:rsidRDefault="005C48DB" w:rsidP="005C48DB">
      <w:pPr>
        <w:rPr>
          <w:b/>
          <w:color w:val="010000"/>
        </w:rPr>
      </w:pPr>
      <w:r>
        <w:rPr>
          <w:b/>
          <w:color w:val="010000"/>
        </w:rPr>
        <w:t>R.G. Tarih-Sayı:27.10.2011-28097</w:t>
      </w:r>
    </w:p>
    <w:p w:rsidR="005C48DB" w:rsidRPr="005C48DB" w:rsidRDefault="005C48DB" w:rsidP="005C48DB">
      <w:pPr>
        <w:rPr>
          <w:b/>
          <w:color w:val="010000"/>
        </w:rPr>
      </w:pP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b/>
          <w:bCs/>
          <w:color w:val="010000"/>
          <w:szCs w:val="26"/>
        </w:rPr>
        <w:t xml:space="preserve"> </w:t>
      </w:r>
      <w:r w:rsidRPr="005C48DB">
        <w:rPr>
          <w:b/>
          <w:bCs/>
          <w:color w:val="010000"/>
          <w:szCs w:val="26"/>
        </w:rPr>
        <w:t>I- MALİ DENETİMİN KONUSU</w:t>
      </w:r>
      <w:r w:rsidRPr="005C48DB">
        <w:rPr>
          <w:color w:val="010000"/>
          <w:szCs w:val="26"/>
        </w:rPr>
        <w:t xml:space="preserve"> 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color w:val="010000"/>
          <w:szCs w:val="26"/>
        </w:rPr>
        <w:t xml:space="preserve"> </w:t>
      </w:r>
      <w:r w:rsidRPr="005C48DB">
        <w:rPr>
          <w:color w:val="010000"/>
          <w:szCs w:val="26"/>
        </w:rPr>
        <w:t>Türkiye Müdafaa-i Hukuk Partisi'nin 2009</w:t>
      </w:r>
      <w:r w:rsidRPr="005C48DB">
        <w:rPr>
          <w:b/>
          <w:bCs/>
          <w:color w:val="010000"/>
          <w:szCs w:val="26"/>
        </w:rPr>
        <w:t xml:space="preserve"> </w:t>
      </w:r>
      <w:r w:rsidRPr="005C48DB">
        <w:rPr>
          <w:color w:val="010000"/>
          <w:szCs w:val="26"/>
        </w:rPr>
        <w:t xml:space="preserve">yılı </w:t>
      </w:r>
      <w:proofErr w:type="spellStart"/>
      <w:r w:rsidRPr="005C48DB">
        <w:rPr>
          <w:color w:val="010000"/>
          <w:szCs w:val="26"/>
        </w:rPr>
        <w:t>kesinhesabının</w:t>
      </w:r>
      <w:proofErr w:type="spellEnd"/>
      <w:r w:rsidRPr="005C48DB">
        <w:rPr>
          <w:color w:val="010000"/>
          <w:szCs w:val="26"/>
        </w:rPr>
        <w:t xml:space="preserve"> incelenmesidir.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b/>
          <w:bCs/>
          <w:color w:val="010000"/>
          <w:szCs w:val="26"/>
        </w:rPr>
        <w:t xml:space="preserve"> </w:t>
      </w:r>
      <w:r w:rsidRPr="005C48DB">
        <w:rPr>
          <w:b/>
          <w:bCs/>
          <w:color w:val="010000"/>
          <w:szCs w:val="26"/>
        </w:rPr>
        <w:t xml:space="preserve">II- İLK İNCELEME 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color w:val="010000"/>
          <w:szCs w:val="26"/>
        </w:rPr>
        <w:t xml:space="preserve"> </w:t>
      </w:r>
      <w:r w:rsidRPr="005C48DB">
        <w:rPr>
          <w:color w:val="010000"/>
          <w:szCs w:val="26"/>
        </w:rPr>
        <w:t xml:space="preserve">Türkiye Müdafaa-i Hukuk Partisi'nin 2009 yılı </w:t>
      </w:r>
      <w:proofErr w:type="spellStart"/>
      <w:r w:rsidRPr="005C48DB">
        <w:rPr>
          <w:color w:val="010000"/>
          <w:szCs w:val="26"/>
        </w:rPr>
        <w:t>kesinhesabının</w:t>
      </w:r>
      <w:proofErr w:type="spellEnd"/>
      <w:r w:rsidRPr="005C48DB">
        <w:rPr>
          <w:color w:val="010000"/>
          <w:szCs w:val="26"/>
        </w:rPr>
        <w:t xml:space="preserve"> incelemesi sonucunda;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color w:val="010000"/>
          <w:szCs w:val="26"/>
        </w:rPr>
        <w:t xml:space="preserve"> </w:t>
      </w:r>
      <w:r w:rsidRPr="005C48DB">
        <w:rPr>
          <w:color w:val="010000"/>
          <w:szCs w:val="26"/>
        </w:rPr>
        <w:t>'Dosyada eksiklik bulunmadığından işin esasına geçilmesine oybirliğiyle' karar verildi.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b/>
          <w:bCs/>
          <w:color w:val="010000"/>
          <w:szCs w:val="26"/>
        </w:rPr>
        <w:t xml:space="preserve"> </w:t>
      </w:r>
      <w:r w:rsidRPr="005C48DB">
        <w:rPr>
          <w:b/>
          <w:bCs/>
          <w:color w:val="010000"/>
          <w:szCs w:val="26"/>
        </w:rPr>
        <w:t>III- ESASIN İNCELENMESİ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color w:val="010000"/>
          <w:szCs w:val="26"/>
        </w:rPr>
        <w:t xml:space="preserve"> </w:t>
      </w:r>
      <w:r w:rsidRPr="005C48DB">
        <w:rPr>
          <w:color w:val="010000"/>
          <w:szCs w:val="26"/>
        </w:rPr>
        <w:t xml:space="preserve">Parti'nin Anayasa Mahkemesi'ne verdiği 2009 yılı </w:t>
      </w:r>
      <w:proofErr w:type="spellStart"/>
      <w:r w:rsidRPr="005C48DB">
        <w:rPr>
          <w:color w:val="010000"/>
          <w:szCs w:val="26"/>
        </w:rPr>
        <w:t>kesinhesap</w:t>
      </w:r>
      <w:proofErr w:type="spellEnd"/>
      <w:r w:rsidRPr="005C48DB">
        <w:rPr>
          <w:color w:val="010000"/>
          <w:szCs w:val="26"/>
        </w:rPr>
        <w:t xml:space="preserve"> çizelgeleri ile dayanağını oluşturan defter ve belgeler üzerinde yapılan inceleme sonuçlarını içeren esas inceleme raporu, Anayasa ve 2949 sayılı Anayasa Mahkemesinin Kuruluşu ve Yargılama Usulleri Hakkında Kanun ile 2820 sayılı </w:t>
      </w:r>
      <w:proofErr w:type="spellStart"/>
      <w:r w:rsidRPr="005C48DB">
        <w:rPr>
          <w:color w:val="010000"/>
          <w:szCs w:val="26"/>
        </w:rPr>
        <w:t>SiyasÎ</w:t>
      </w:r>
      <w:proofErr w:type="spellEnd"/>
      <w:r w:rsidRPr="005C48DB">
        <w:rPr>
          <w:color w:val="010000"/>
          <w:szCs w:val="26"/>
        </w:rPr>
        <w:t xml:space="preserve"> Partiler Kanunu'nun ilgili kuralları, bunların gerekçeleri ile diğer yasama belgeleri okunup incelendikten sonra gereği görüşülüp düşünüldü: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color w:val="010000"/>
          <w:szCs w:val="26"/>
        </w:rPr>
        <w:t xml:space="preserve"> </w:t>
      </w:r>
      <w:r w:rsidRPr="005C48DB">
        <w:rPr>
          <w:color w:val="010000"/>
          <w:szCs w:val="26"/>
        </w:rPr>
        <w:t xml:space="preserve">Türkiye Müdafaa-i Hukuk Partisi'nin 2009 yılı Genel Merkez ve birleşik </w:t>
      </w:r>
      <w:proofErr w:type="spellStart"/>
      <w:r w:rsidRPr="005C48DB">
        <w:rPr>
          <w:color w:val="010000"/>
          <w:szCs w:val="26"/>
        </w:rPr>
        <w:t>kesinhesabında</w:t>
      </w:r>
      <w:proofErr w:type="spellEnd"/>
      <w:r w:rsidRPr="005C48DB">
        <w:rPr>
          <w:color w:val="010000"/>
          <w:szCs w:val="26"/>
        </w:rPr>
        <w:t xml:space="preserve"> borç kalemleri ve borca mahsup edilen demirbaş devrinin gösterilmemiş olduğu anlaşılmış ve talep üzerine düzeltilmiştir. 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color w:val="010000"/>
          <w:szCs w:val="26"/>
        </w:rPr>
        <w:t xml:space="preserve"> </w:t>
      </w:r>
      <w:r w:rsidRPr="005C48DB">
        <w:rPr>
          <w:color w:val="010000"/>
          <w:szCs w:val="26"/>
        </w:rPr>
        <w:t xml:space="preserve">Düzeltilmiş Parti kesin hesabında; Parti'nin 2009 yılı gelirleri toplamının 22.133,53 YTL, giderleri toplamının 20.252,91 YTL olduğu ve 1.880,62 YTL nakit mevcudun sonraki yıla devrettiği anlaşılmaktadır. 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color w:val="010000"/>
          <w:szCs w:val="26"/>
        </w:rPr>
        <w:t xml:space="preserve"> </w:t>
      </w:r>
      <w:r w:rsidRPr="005C48DB">
        <w:rPr>
          <w:color w:val="010000"/>
          <w:szCs w:val="26"/>
        </w:rPr>
        <w:t xml:space="preserve">Türkiye Müdafaa-i Hukuk Partisi'nin il örgütlerinin 2009 yılı içinde gelir ve giderlerinin bulunmadığı beyan edilmiştir. 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b/>
          <w:bCs/>
          <w:color w:val="010000"/>
          <w:szCs w:val="26"/>
        </w:rPr>
        <w:t xml:space="preserve"> </w:t>
      </w:r>
      <w:r w:rsidRPr="005C48DB">
        <w:rPr>
          <w:b/>
          <w:bCs/>
          <w:color w:val="010000"/>
          <w:szCs w:val="26"/>
        </w:rPr>
        <w:t>A-</w:t>
      </w:r>
      <w:r w:rsidRPr="005C48DB">
        <w:rPr>
          <w:color w:val="010000"/>
          <w:szCs w:val="26"/>
        </w:rPr>
        <w:t xml:space="preserve"> </w:t>
      </w:r>
      <w:r w:rsidRPr="005C48DB">
        <w:rPr>
          <w:b/>
          <w:bCs/>
          <w:color w:val="010000"/>
          <w:szCs w:val="26"/>
        </w:rPr>
        <w:t>Gelirlerin İncelenmesi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color w:val="010000"/>
          <w:szCs w:val="26"/>
        </w:rPr>
        <w:t xml:space="preserve"> </w:t>
      </w:r>
      <w:r w:rsidRPr="005C48DB">
        <w:rPr>
          <w:color w:val="010000"/>
          <w:szCs w:val="26"/>
        </w:rPr>
        <w:t>Parti Genel Merkezi'nin 2009 yılı gelirleri toplamı 22.133,53 YTL olarak gösterilmiştir.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color w:val="010000"/>
          <w:szCs w:val="26"/>
        </w:rPr>
        <w:t xml:space="preserve"> </w:t>
      </w:r>
      <w:r w:rsidRPr="005C48DB">
        <w:rPr>
          <w:color w:val="010000"/>
          <w:szCs w:val="26"/>
        </w:rPr>
        <w:t xml:space="preserve">Bu tutar 1.500,00 YTL üye yıllık aidatlarından, 5.000,00 YTL satış gelirlerinden, 13.753,56 YTL demirbaş satış gelirinden ve 1.879,97 YTL önceki yıldan devreden banka ve nakit mevcudundan oluşmaktadır. 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color w:val="010000"/>
          <w:szCs w:val="26"/>
        </w:rPr>
        <w:t xml:space="preserve"> </w:t>
      </w:r>
      <w:r w:rsidRPr="005C48DB">
        <w:rPr>
          <w:color w:val="010000"/>
          <w:szCs w:val="26"/>
        </w:rPr>
        <w:t>Parti Genel Merkezi'nin 2009 yılı defter kayıtları ve gelir belgeleri üzerinde yapılan incelemede, gelirlerinin 2820 sayılı Yasaya uygun olarak sağlandığı sonucuna varılmıştır.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b/>
          <w:bCs/>
          <w:color w:val="010000"/>
          <w:szCs w:val="26"/>
        </w:rPr>
        <w:t xml:space="preserve"> </w:t>
      </w:r>
      <w:r w:rsidRPr="005C48DB">
        <w:rPr>
          <w:b/>
          <w:bCs/>
          <w:color w:val="010000"/>
          <w:szCs w:val="26"/>
        </w:rPr>
        <w:t>B- Giderlerin İncelenmesi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color w:val="010000"/>
          <w:szCs w:val="26"/>
        </w:rPr>
        <w:t xml:space="preserve"> </w:t>
      </w:r>
      <w:r w:rsidRPr="005C48DB">
        <w:rPr>
          <w:color w:val="010000"/>
          <w:szCs w:val="26"/>
        </w:rPr>
        <w:t xml:space="preserve">Türkiye Müdafaa-i Hukuk Partisi Genel Merkezi'nin 2009 yılı giderleri toplamı 20.252,91 YTL gösterilmiştir. 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color w:val="010000"/>
          <w:szCs w:val="26"/>
        </w:rPr>
        <w:lastRenderedPageBreak/>
        <w:t xml:space="preserve"> </w:t>
      </w:r>
      <w:r w:rsidRPr="005C48DB">
        <w:rPr>
          <w:color w:val="010000"/>
          <w:szCs w:val="26"/>
        </w:rPr>
        <w:t>Bu tutar, 1.800,00 YTL personel gideri, 2.998,38 YTL büro giderleri, 1.000,0 YTL sair giderler, 415,00 YTL demirbaş alımı gideri ve 13.753,56 YTL borç ödemesinden oluşmaktadır.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color w:val="010000"/>
          <w:szCs w:val="26"/>
        </w:rPr>
        <w:t xml:space="preserve"> </w:t>
      </w:r>
      <w:r w:rsidRPr="005C48DB">
        <w:rPr>
          <w:color w:val="010000"/>
          <w:szCs w:val="26"/>
        </w:rPr>
        <w:t>Genel Merkezi'nin 2009 yılına devreden kasa ve banka mevcudu 1.880,62 YTL'dir.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color w:val="010000"/>
          <w:szCs w:val="26"/>
        </w:rPr>
        <w:t xml:space="preserve"> </w:t>
      </w:r>
      <w:r w:rsidRPr="005C48DB">
        <w:rPr>
          <w:color w:val="010000"/>
          <w:szCs w:val="26"/>
        </w:rPr>
        <w:t>Genel Merkezin defter kayıtları ve gider belgeleri üzerinde yapılan incelemede, giderlerin 2820 sayılı Yasaya uygun olarak gerçekleştirildiği sonucuna varılmıştır.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b/>
          <w:bCs/>
          <w:color w:val="010000"/>
          <w:szCs w:val="26"/>
        </w:rPr>
        <w:t xml:space="preserve"> </w:t>
      </w:r>
      <w:r w:rsidRPr="005C48DB">
        <w:rPr>
          <w:b/>
          <w:bCs/>
          <w:color w:val="010000"/>
          <w:szCs w:val="26"/>
        </w:rPr>
        <w:t>C- Parti Mallarının İncelenmesi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color w:val="010000"/>
          <w:szCs w:val="26"/>
        </w:rPr>
        <w:t xml:space="preserve"> </w:t>
      </w:r>
      <w:r w:rsidRPr="005C48DB">
        <w:rPr>
          <w:color w:val="010000"/>
          <w:szCs w:val="26"/>
        </w:rPr>
        <w:t>Parti'nin 2009 yılında taşınır veya taşınmaz mal edinmediği anlaşılmıştır.</w:t>
      </w:r>
    </w:p>
    <w:p w:rsidR="005C48DB" w:rsidRPr="005C48DB" w:rsidRDefault="005C48DB" w:rsidP="005C48DB">
      <w:pPr>
        <w:overflowPunct w:val="0"/>
        <w:autoSpaceDE w:val="0"/>
        <w:autoSpaceDN w:val="0"/>
        <w:spacing w:after="200"/>
        <w:ind w:left="283" w:right="283" w:firstLine="709"/>
        <w:jc w:val="both"/>
        <w:textAlignment w:val="baseline"/>
        <w:rPr>
          <w:color w:val="010000"/>
        </w:rPr>
      </w:pPr>
      <w:r w:rsidRPr="005C48DB">
        <w:rPr>
          <w:b/>
          <w:bCs/>
          <w:color w:val="010000"/>
          <w:szCs w:val="26"/>
        </w:rPr>
        <w:t xml:space="preserve"> </w:t>
      </w:r>
      <w:r w:rsidRPr="005C48DB">
        <w:rPr>
          <w:b/>
          <w:bCs/>
          <w:color w:val="010000"/>
          <w:szCs w:val="26"/>
        </w:rPr>
        <w:t>IV-SONUÇ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color w:val="010000"/>
          <w:szCs w:val="26"/>
        </w:rPr>
        <w:t xml:space="preserve"> </w:t>
      </w:r>
      <w:r w:rsidRPr="005C48DB">
        <w:rPr>
          <w:color w:val="010000"/>
          <w:szCs w:val="26"/>
        </w:rPr>
        <w:t xml:space="preserve">Türkiye Müdafaa-i Hukuk Partisi'nin 2009 yılı düzeltilmiş </w:t>
      </w:r>
      <w:proofErr w:type="spellStart"/>
      <w:r w:rsidRPr="005C48DB">
        <w:rPr>
          <w:color w:val="010000"/>
          <w:szCs w:val="26"/>
        </w:rPr>
        <w:t>kesinhesabının</w:t>
      </w:r>
      <w:proofErr w:type="spellEnd"/>
      <w:r w:rsidRPr="005C48DB">
        <w:rPr>
          <w:color w:val="010000"/>
          <w:szCs w:val="26"/>
        </w:rPr>
        <w:t xml:space="preserve"> incelenmesi sonucunda,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color w:val="010000"/>
          <w:szCs w:val="26"/>
        </w:rPr>
        <w:t xml:space="preserve"> </w:t>
      </w:r>
      <w:r w:rsidRPr="005C48DB">
        <w:rPr>
          <w:color w:val="010000"/>
          <w:szCs w:val="26"/>
        </w:rPr>
        <w:t xml:space="preserve">Parti'nin 2009 yılı </w:t>
      </w:r>
      <w:proofErr w:type="spellStart"/>
      <w:r w:rsidRPr="005C48DB">
        <w:rPr>
          <w:color w:val="010000"/>
          <w:szCs w:val="26"/>
        </w:rPr>
        <w:t>kesinhesabında</w:t>
      </w:r>
      <w:proofErr w:type="spellEnd"/>
      <w:r w:rsidRPr="005C48DB">
        <w:rPr>
          <w:color w:val="010000"/>
          <w:szCs w:val="26"/>
        </w:rPr>
        <w:t xml:space="preserve"> gösterilen 22.133,03 YTL gelir, 20.252,91 YTL gider ve 1.880,62 YTL kasa ve banka mevcudu devrinin eldeki bilgi ve belgelere göre doğru, denk ve 2820 sayılı Siyasî Partiler Kanunu'na uygun olduğuna,</w:t>
      </w:r>
    </w:p>
    <w:p w:rsidR="005C48DB" w:rsidRPr="005C48DB" w:rsidRDefault="005C48DB" w:rsidP="005C48DB">
      <w:pPr>
        <w:spacing w:after="200"/>
        <w:ind w:left="283" w:right="283" w:firstLine="709"/>
        <w:jc w:val="both"/>
        <w:rPr>
          <w:color w:val="010000"/>
        </w:rPr>
      </w:pPr>
      <w:r w:rsidRPr="005C48DB">
        <w:rPr>
          <w:color w:val="010000"/>
          <w:szCs w:val="26"/>
        </w:rPr>
        <w:t xml:space="preserve"> </w:t>
      </w:r>
      <w:r w:rsidRPr="005C48DB">
        <w:rPr>
          <w:color w:val="010000"/>
          <w:szCs w:val="26"/>
        </w:rPr>
        <w:t>28.9.2011 gününde OYBİRLİĞİYLE karar verildi.</w:t>
      </w:r>
    </w:p>
    <w:p w:rsidR="005C48DB" w:rsidRDefault="005C48DB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1"/>
        <w:gridCol w:w="1578"/>
        <w:gridCol w:w="1665"/>
        <w:gridCol w:w="3296"/>
      </w:tblGrid>
      <w:tr w:rsidR="005C48DB" w:rsidRPr="005C48DB" w:rsidTr="005C48DB">
        <w:trPr>
          <w:jc w:val="center"/>
        </w:trPr>
        <w:tc>
          <w:tcPr>
            <w:tcW w:w="1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Başkan</w:t>
            </w:r>
          </w:p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Haşim KILIÇ</w:t>
            </w:r>
          </w:p>
        </w:tc>
        <w:tc>
          <w:tcPr>
            <w:tcW w:w="165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Başkanvekili</w:t>
            </w:r>
          </w:p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 xml:space="preserve">Osman </w:t>
            </w:r>
            <w:proofErr w:type="spellStart"/>
            <w:r w:rsidRPr="005C48DB">
              <w:rPr>
                <w:color w:val="010000"/>
                <w:szCs w:val="26"/>
              </w:rPr>
              <w:t>Alifeyyaz</w:t>
            </w:r>
            <w:proofErr w:type="spellEnd"/>
            <w:r w:rsidRPr="005C48DB">
              <w:rPr>
                <w:color w:val="010000"/>
                <w:szCs w:val="26"/>
              </w:rPr>
              <w:t xml:space="preserve"> PAKSÜT</w:t>
            </w:r>
          </w:p>
        </w:tc>
        <w:tc>
          <w:tcPr>
            <w:tcW w:w="16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Üye</w:t>
            </w:r>
          </w:p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Fulya KANTARCIOĞLU</w:t>
            </w:r>
          </w:p>
        </w:tc>
      </w:tr>
      <w:tr w:rsidR="005C48DB" w:rsidRPr="005C48DB" w:rsidTr="005C48DB">
        <w:trPr>
          <w:jc w:val="center"/>
        </w:trPr>
        <w:tc>
          <w:tcPr>
            <w:tcW w:w="1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Üye</w:t>
            </w:r>
          </w:p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Ahmet AKYALÇIN</w:t>
            </w:r>
          </w:p>
        </w:tc>
        <w:tc>
          <w:tcPr>
            <w:tcW w:w="165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Üye</w:t>
            </w:r>
          </w:p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Mehmet ERTEN</w:t>
            </w:r>
          </w:p>
        </w:tc>
        <w:tc>
          <w:tcPr>
            <w:tcW w:w="16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Üye</w:t>
            </w:r>
          </w:p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Fettah OTO</w:t>
            </w:r>
          </w:p>
        </w:tc>
      </w:tr>
      <w:tr w:rsidR="005C48DB" w:rsidRPr="005C48DB" w:rsidTr="005C48DB">
        <w:trPr>
          <w:jc w:val="center"/>
        </w:trPr>
        <w:tc>
          <w:tcPr>
            <w:tcW w:w="1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Üye</w:t>
            </w:r>
          </w:p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Serdar ÖZGÜLDÜR</w:t>
            </w:r>
          </w:p>
        </w:tc>
        <w:tc>
          <w:tcPr>
            <w:tcW w:w="165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Üye</w:t>
            </w:r>
          </w:p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Recep KÖMÜRCÜ</w:t>
            </w:r>
          </w:p>
        </w:tc>
        <w:tc>
          <w:tcPr>
            <w:tcW w:w="16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Üye</w:t>
            </w:r>
          </w:p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Engin YILDIRIM</w:t>
            </w:r>
          </w:p>
        </w:tc>
      </w:tr>
      <w:tr w:rsidR="005C48DB" w:rsidRPr="005C48DB" w:rsidTr="005C48DB">
        <w:trPr>
          <w:trHeight w:val="80"/>
          <w:jc w:val="center"/>
        </w:trPr>
        <w:tc>
          <w:tcPr>
            <w:tcW w:w="2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Üye</w:t>
            </w:r>
          </w:p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Nuri NECİPOĞLU</w:t>
            </w:r>
          </w:p>
        </w:tc>
        <w:tc>
          <w:tcPr>
            <w:tcW w:w="253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Üye</w:t>
            </w:r>
          </w:p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proofErr w:type="spellStart"/>
            <w:r w:rsidRPr="005C48DB">
              <w:rPr>
                <w:color w:val="010000"/>
                <w:szCs w:val="26"/>
              </w:rPr>
              <w:t>Hicabi</w:t>
            </w:r>
            <w:proofErr w:type="spellEnd"/>
            <w:r w:rsidRPr="005C48DB">
              <w:rPr>
                <w:color w:val="010000"/>
                <w:szCs w:val="26"/>
              </w:rPr>
              <w:t xml:space="preserve"> DURSUN</w:t>
            </w:r>
          </w:p>
        </w:tc>
      </w:tr>
      <w:tr w:rsidR="005C48DB" w:rsidRPr="005C48DB" w:rsidTr="005C48DB">
        <w:trPr>
          <w:jc w:val="center"/>
        </w:trPr>
        <w:tc>
          <w:tcPr>
            <w:tcW w:w="24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Üye</w:t>
            </w:r>
          </w:p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Celal Mümtaz AKINCI</w:t>
            </w:r>
          </w:p>
        </w:tc>
        <w:tc>
          <w:tcPr>
            <w:tcW w:w="253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Üye</w:t>
            </w:r>
          </w:p>
          <w:p w:rsidR="005C48DB" w:rsidRPr="005C48DB" w:rsidRDefault="005C48DB" w:rsidP="005C48DB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5C48DB">
              <w:rPr>
                <w:color w:val="010000"/>
                <w:szCs w:val="26"/>
              </w:rPr>
              <w:t>Erdal TERCAN</w:t>
            </w:r>
          </w:p>
        </w:tc>
      </w:tr>
    </w:tbl>
    <w:p w:rsidR="005C48DB" w:rsidRPr="005C48DB" w:rsidRDefault="005C48DB" w:rsidP="005C48DB">
      <w:pPr>
        <w:spacing w:after="200"/>
        <w:ind w:left="283" w:right="283" w:firstLine="709"/>
        <w:jc w:val="both"/>
        <w:rPr>
          <w:rFonts w:eastAsia="Times New Roman"/>
          <w:color w:val="010000"/>
        </w:rPr>
      </w:pPr>
      <w:bookmarkStart w:id="0" w:name="_GoBack"/>
      <w:bookmarkEnd w:id="0"/>
    </w:p>
    <w:sectPr w:rsidR="005C48DB" w:rsidRPr="005C48DB" w:rsidSect="005C48DB">
      <w:headerReference w:type="default" r:id="rId6"/>
      <w:footerReference w:type="even" r:id="rId7"/>
      <w:footerReference w:type="default" r:id="rId8"/>
      <w:pgSz w:w="11906" w:h="16838"/>
      <w:pgMar w:top="1417" w:right="992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23E" w:rsidRDefault="00C9123E" w:rsidP="005C48DB">
      <w:r>
        <w:separator/>
      </w:r>
    </w:p>
  </w:endnote>
  <w:endnote w:type="continuationSeparator" w:id="0">
    <w:p w:rsidR="00C9123E" w:rsidRDefault="00C9123E" w:rsidP="005C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8DB" w:rsidRDefault="005C48DB" w:rsidP="001D7D8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5C48DB" w:rsidRDefault="005C48DB" w:rsidP="005C48DB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8DB" w:rsidRPr="005C48DB" w:rsidRDefault="005C48DB" w:rsidP="001D7D80">
    <w:pPr>
      <w:pStyle w:val="AltBilgi"/>
      <w:framePr w:wrap="around" w:vAnchor="text" w:hAnchor="margin" w:xAlign="right" w:y="1"/>
      <w:rPr>
        <w:rStyle w:val="SayfaNumaras"/>
      </w:rPr>
    </w:pPr>
    <w:r w:rsidRPr="005C48DB">
      <w:rPr>
        <w:rStyle w:val="SayfaNumaras"/>
      </w:rPr>
      <w:fldChar w:fldCharType="begin"/>
    </w:r>
    <w:r w:rsidRPr="005C48DB">
      <w:rPr>
        <w:rStyle w:val="SayfaNumaras"/>
      </w:rPr>
      <w:instrText xml:space="preserve"> PAGE </w:instrText>
    </w:r>
    <w:r w:rsidRPr="005C48DB">
      <w:rPr>
        <w:rStyle w:val="SayfaNumaras"/>
      </w:rPr>
      <w:fldChar w:fldCharType="separate"/>
    </w:r>
    <w:r w:rsidRPr="005C48DB">
      <w:rPr>
        <w:rStyle w:val="SayfaNumaras"/>
        <w:noProof/>
      </w:rPr>
      <w:t>1</w:t>
    </w:r>
    <w:r w:rsidRPr="005C48DB">
      <w:rPr>
        <w:rStyle w:val="SayfaNumaras"/>
      </w:rPr>
      <w:fldChar w:fldCharType="end"/>
    </w:r>
  </w:p>
  <w:p w:rsidR="005C48DB" w:rsidRDefault="005C48DB" w:rsidP="005C48DB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23E" w:rsidRDefault="00C9123E" w:rsidP="005C48DB">
      <w:r>
        <w:separator/>
      </w:r>
    </w:p>
  </w:footnote>
  <w:footnote w:type="continuationSeparator" w:id="0">
    <w:p w:rsidR="00C9123E" w:rsidRDefault="00C9123E" w:rsidP="005C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8DB" w:rsidRPr="005C48DB" w:rsidRDefault="005C48DB" w:rsidP="005C48DB">
    <w:pPr>
      <w:pStyle w:val="stBilgi"/>
      <w:rPr>
        <w:b/>
      </w:rPr>
    </w:pPr>
    <w:r w:rsidRPr="005C48DB">
      <w:rPr>
        <w:b/>
      </w:rPr>
      <w:t>Esas Sayısı:2010/23 (Siyasî Parti Malî Denetimi)</w:t>
    </w:r>
  </w:p>
  <w:p w:rsidR="005C48DB" w:rsidRDefault="005C48DB" w:rsidP="005C48DB">
    <w:pPr>
      <w:pStyle w:val="stBilgi"/>
      <w:rPr>
        <w:b/>
      </w:rPr>
    </w:pPr>
    <w:r>
      <w:rPr>
        <w:b/>
      </w:rPr>
      <w:t>Karar Sayısı:2011/32</w:t>
    </w:r>
  </w:p>
  <w:p w:rsidR="005C48DB" w:rsidRPr="005C48DB" w:rsidRDefault="005C48DB" w:rsidP="005C48DB">
    <w:pPr>
      <w:pStyle w:val="stBilgi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DB"/>
    <w:rsid w:val="005C48DB"/>
    <w:rsid w:val="00C9123E"/>
    <w:rsid w:val="00D1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ADD6E-5D44-40A9-8D09-060897D3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8D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C48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48DB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C48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48DB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5C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Samil ESSIZ</dc:creator>
  <cp:keywords/>
  <dc:description/>
  <cp:lastModifiedBy>Samil ESSIZ</cp:lastModifiedBy>
  <cp:revision>1</cp:revision>
  <dcterms:created xsi:type="dcterms:W3CDTF">2020-06-14T09:29:00Z</dcterms:created>
  <dcterms:modified xsi:type="dcterms:W3CDTF">2020-06-14T09:29:00Z</dcterms:modified>
</cp:coreProperties>
</file>