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32B" w:rsidRDefault="006B232B" w:rsidP="006B232B">
      <w:pPr>
        <w:spacing w:after="200"/>
        <w:ind w:left="283" w:right="283"/>
        <w:jc w:val="center"/>
        <w:rPr>
          <w:b/>
          <w:bCs/>
          <w:caps/>
          <w:color w:val="010000"/>
          <w:szCs w:val="26"/>
        </w:rPr>
      </w:pPr>
      <w:r w:rsidRPr="006B232B">
        <w:rPr>
          <w:b/>
          <w:bCs/>
          <w:caps/>
          <w:color w:val="010000"/>
          <w:szCs w:val="26"/>
        </w:rPr>
        <w:t>ANAYASA MAHKEMESİ KARARI</w:t>
      </w:r>
    </w:p>
    <w:p w:rsidR="006B232B" w:rsidRPr="006B232B" w:rsidRDefault="006B232B" w:rsidP="006B232B">
      <w:pPr>
        <w:spacing w:after="200"/>
        <w:ind w:left="283" w:right="283" w:firstLine="709"/>
        <w:jc w:val="center"/>
        <w:rPr>
          <w:b/>
          <w:caps/>
          <w:color w:val="010000"/>
        </w:rPr>
      </w:pPr>
    </w:p>
    <w:p w:rsidR="006B232B" w:rsidRDefault="006B232B" w:rsidP="006B232B">
      <w:pPr>
        <w:rPr>
          <w:b/>
          <w:bCs/>
          <w:color w:val="010000"/>
          <w:szCs w:val="26"/>
        </w:rPr>
      </w:pPr>
      <w:r>
        <w:rPr>
          <w:b/>
          <w:bCs/>
          <w:color w:val="010000"/>
          <w:szCs w:val="26"/>
        </w:rPr>
        <w:t>Esas Sayısı:2009/25 (Siyasî Parti Malî Denetimi)</w:t>
      </w:r>
    </w:p>
    <w:p w:rsidR="006B232B" w:rsidRDefault="006B232B" w:rsidP="006B232B">
      <w:pPr>
        <w:rPr>
          <w:b/>
          <w:color w:val="010000"/>
        </w:rPr>
      </w:pPr>
      <w:r>
        <w:rPr>
          <w:b/>
          <w:color w:val="010000"/>
        </w:rPr>
        <w:t>Karar Sayısı:2011/31</w:t>
      </w:r>
    </w:p>
    <w:p w:rsidR="006B232B" w:rsidRDefault="006B232B" w:rsidP="006B232B">
      <w:pPr>
        <w:rPr>
          <w:b/>
          <w:color w:val="010000"/>
        </w:rPr>
      </w:pPr>
      <w:r>
        <w:rPr>
          <w:b/>
          <w:color w:val="010000"/>
        </w:rPr>
        <w:t>Karar Günü:28.9.2011</w:t>
      </w:r>
    </w:p>
    <w:p w:rsidR="006B232B" w:rsidRDefault="006B232B" w:rsidP="006B232B">
      <w:pPr>
        <w:rPr>
          <w:b/>
          <w:color w:val="010000"/>
        </w:rPr>
      </w:pPr>
      <w:r>
        <w:rPr>
          <w:b/>
          <w:color w:val="010000"/>
        </w:rPr>
        <w:t>R.G. Tarih-Sayı:27.10.2011-28097</w:t>
      </w:r>
    </w:p>
    <w:p w:rsidR="006B232B" w:rsidRPr="006B232B" w:rsidRDefault="006B232B" w:rsidP="006B232B">
      <w:pPr>
        <w:rPr>
          <w:b/>
          <w:color w:val="010000"/>
        </w:rPr>
      </w:pPr>
    </w:p>
    <w:p w:rsidR="006B232B" w:rsidRPr="006B232B" w:rsidRDefault="006B232B" w:rsidP="006B232B">
      <w:pPr>
        <w:spacing w:after="200"/>
        <w:ind w:left="283" w:right="283" w:firstLine="709"/>
        <w:jc w:val="both"/>
        <w:rPr>
          <w:color w:val="010000"/>
        </w:rPr>
      </w:pPr>
      <w:r w:rsidRPr="006B232B">
        <w:rPr>
          <w:b/>
          <w:bCs/>
          <w:color w:val="010000"/>
          <w:szCs w:val="26"/>
        </w:rPr>
        <w:t xml:space="preserve"> </w:t>
      </w:r>
      <w:r w:rsidRPr="006B232B">
        <w:rPr>
          <w:b/>
          <w:bCs/>
          <w:color w:val="010000"/>
          <w:szCs w:val="26"/>
        </w:rPr>
        <w:t>I- MALİ DENETİMİN KONUSU</w:t>
      </w:r>
      <w:r w:rsidRPr="006B232B">
        <w:rPr>
          <w:color w:val="010000"/>
          <w:szCs w:val="26"/>
        </w:rPr>
        <w:t xml:space="preserve"> </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Türkiye Müdafaa-i Hukuk Partisi'nin 2008</w:t>
      </w:r>
      <w:r w:rsidRPr="006B232B">
        <w:rPr>
          <w:b/>
          <w:bCs/>
          <w:color w:val="010000"/>
          <w:szCs w:val="26"/>
        </w:rPr>
        <w:t xml:space="preserve"> </w:t>
      </w:r>
      <w:r w:rsidRPr="006B232B">
        <w:rPr>
          <w:color w:val="010000"/>
          <w:szCs w:val="26"/>
        </w:rPr>
        <w:t xml:space="preserve">yılı </w:t>
      </w:r>
      <w:proofErr w:type="spellStart"/>
      <w:r w:rsidRPr="006B232B">
        <w:rPr>
          <w:color w:val="010000"/>
          <w:szCs w:val="26"/>
        </w:rPr>
        <w:t>kesinhesabının</w:t>
      </w:r>
      <w:proofErr w:type="spellEnd"/>
      <w:r w:rsidRPr="006B232B">
        <w:rPr>
          <w:color w:val="010000"/>
          <w:szCs w:val="26"/>
        </w:rPr>
        <w:t xml:space="preserve"> incelenmesidir.</w:t>
      </w:r>
    </w:p>
    <w:p w:rsidR="006B232B" w:rsidRPr="006B232B" w:rsidRDefault="006B232B" w:rsidP="006B232B">
      <w:pPr>
        <w:spacing w:after="200"/>
        <w:ind w:left="283" w:right="283" w:firstLine="709"/>
        <w:jc w:val="both"/>
        <w:rPr>
          <w:color w:val="010000"/>
        </w:rPr>
      </w:pPr>
      <w:r w:rsidRPr="006B232B">
        <w:rPr>
          <w:b/>
          <w:bCs/>
          <w:color w:val="010000"/>
          <w:szCs w:val="26"/>
        </w:rPr>
        <w:t xml:space="preserve"> </w:t>
      </w:r>
      <w:r w:rsidRPr="006B232B">
        <w:rPr>
          <w:b/>
          <w:bCs/>
          <w:color w:val="010000"/>
          <w:szCs w:val="26"/>
        </w:rPr>
        <w:t xml:space="preserve">II- İLK İNCELEME </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Türkiye Müdafaa-i Hukuk Partisinin 2008 yılı </w:t>
      </w:r>
      <w:proofErr w:type="spellStart"/>
      <w:r w:rsidRPr="006B232B">
        <w:rPr>
          <w:color w:val="010000"/>
          <w:szCs w:val="26"/>
        </w:rPr>
        <w:t>kesinhesabının</w:t>
      </w:r>
      <w:proofErr w:type="spellEnd"/>
      <w:r w:rsidRPr="006B232B">
        <w:rPr>
          <w:color w:val="010000"/>
          <w:szCs w:val="26"/>
        </w:rPr>
        <w:t xml:space="preserve"> incelemesi sonucunda;</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'Dosyada eksiklik bulunmadığından işin esasına geçilmesine oybirliğiyle' karar verildi.</w:t>
      </w:r>
    </w:p>
    <w:p w:rsidR="006B232B" w:rsidRPr="006B232B" w:rsidRDefault="006B232B" w:rsidP="006B232B">
      <w:pPr>
        <w:spacing w:after="200"/>
        <w:ind w:left="283" w:right="283" w:firstLine="709"/>
        <w:jc w:val="both"/>
        <w:rPr>
          <w:color w:val="010000"/>
        </w:rPr>
      </w:pPr>
      <w:r w:rsidRPr="006B232B">
        <w:rPr>
          <w:b/>
          <w:bCs/>
          <w:color w:val="010000"/>
          <w:szCs w:val="26"/>
        </w:rPr>
        <w:t xml:space="preserve"> </w:t>
      </w:r>
      <w:r w:rsidRPr="006B232B">
        <w:rPr>
          <w:b/>
          <w:bCs/>
          <w:color w:val="010000"/>
          <w:szCs w:val="26"/>
        </w:rPr>
        <w:t>III- ESASIN İNCELENMESİ</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Parti'nin Anayasa Mahkemesi'ne verdiği 2008 yılı </w:t>
      </w:r>
      <w:proofErr w:type="spellStart"/>
      <w:r w:rsidRPr="006B232B">
        <w:rPr>
          <w:color w:val="010000"/>
          <w:szCs w:val="26"/>
        </w:rPr>
        <w:t>kesinhesap</w:t>
      </w:r>
      <w:proofErr w:type="spellEnd"/>
      <w:r w:rsidRPr="006B232B">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Türkiye Müdafaa-i Hukuk Partisi'nin 2008 yılı Genel Merkez ve birleşik </w:t>
      </w:r>
      <w:proofErr w:type="spellStart"/>
      <w:r w:rsidRPr="006B232B">
        <w:rPr>
          <w:color w:val="010000"/>
          <w:szCs w:val="26"/>
        </w:rPr>
        <w:t>kesinhesabında</w:t>
      </w:r>
      <w:proofErr w:type="spellEnd"/>
      <w:r w:rsidRPr="006B232B">
        <w:rPr>
          <w:color w:val="010000"/>
          <w:szCs w:val="26"/>
        </w:rPr>
        <w:t xml:space="preserve"> borç kalemlerinin gösterilmemiş olduğu anlaşılmış ve talep üzerine düzeltilmiştir. </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Düzeltilmiş Parti kesin hesabında; Parti'nin 2008 yılı gelirleri toplamının 6.176,43 YTL, borçları toplamının 8.252,13 YTL, giderleri toplamının 12.548,59 YTL olduğu ve 1.879,97 YTL nakit mevcudun sonraki yıla devrettiği anlaşılmaktadır. </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Türkiye Müdafaa-i Hukuk Partisi'nin il örgütlerinin 2008 yılı içinde gelir ve giderlerinin bulunmadığı beyan edilmiştir. </w:t>
      </w:r>
    </w:p>
    <w:p w:rsidR="006B232B" w:rsidRPr="006B232B" w:rsidRDefault="006B232B" w:rsidP="006B232B">
      <w:pPr>
        <w:spacing w:after="200"/>
        <w:ind w:left="283" w:right="283" w:firstLine="709"/>
        <w:jc w:val="both"/>
        <w:rPr>
          <w:color w:val="010000"/>
        </w:rPr>
      </w:pPr>
      <w:r w:rsidRPr="006B232B">
        <w:rPr>
          <w:b/>
          <w:bCs/>
          <w:color w:val="010000"/>
          <w:szCs w:val="26"/>
        </w:rPr>
        <w:t xml:space="preserve"> </w:t>
      </w:r>
      <w:r w:rsidRPr="006B232B">
        <w:rPr>
          <w:b/>
          <w:bCs/>
          <w:color w:val="010000"/>
          <w:szCs w:val="26"/>
        </w:rPr>
        <w:t>A-</w:t>
      </w:r>
      <w:r w:rsidRPr="006B232B">
        <w:rPr>
          <w:color w:val="010000"/>
          <w:szCs w:val="26"/>
        </w:rPr>
        <w:t xml:space="preserve"> </w:t>
      </w:r>
      <w:r w:rsidRPr="006B232B">
        <w:rPr>
          <w:b/>
          <w:bCs/>
          <w:color w:val="010000"/>
          <w:szCs w:val="26"/>
        </w:rPr>
        <w:t>Gelirlerin İncelenmesi</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Parti Genel Merkezi'nin 2008 yılı gelirleri toplamı 6.176,43 YTL olarak gösterilmiştir.</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Bu tutar 700 YTL üye giriş aidatlarından, 4.300,00 YTL satış gelirlerinden, 6,37 YTL sair gelirlerden ve 1.170,06 YTL önceki yıldan devreden banka ve nakit mevcudundan oluşmaktadır. Parti'nin 2008 yılı içinde 8.252,13 YTL borçlandığı görülmüştür.</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Parti Genel Merkezi'nin 2008 yılı defter kayıtları ve gelir belgeleri üzerinde yapılan incelemede, gelirlerinin 2820 sayılı Yasa'ya uygun olarak sağlandığı sonucuna varılmıştır.</w:t>
      </w:r>
    </w:p>
    <w:p w:rsidR="006B232B" w:rsidRPr="006B232B" w:rsidRDefault="006B232B" w:rsidP="006B232B">
      <w:pPr>
        <w:spacing w:after="200"/>
        <w:ind w:left="283" w:right="283" w:firstLine="709"/>
        <w:jc w:val="both"/>
        <w:rPr>
          <w:color w:val="010000"/>
        </w:rPr>
      </w:pPr>
      <w:r w:rsidRPr="006B232B">
        <w:rPr>
          <w:b/>
          <w:bCs/>
          <w:color w:val="010000"/>
          <w:szCs w:val="26"/>
        </w:rPr>
        <w:t xml:space="preserve"> </w:t>
      </w:r>
      <w:r w:rsidRPr="006B232B">
        <w:rPr>
          <w:b/>
          <w:bCs/>
          <w:color w:val="010000"/>
          <w:szCs w:val="26"/>
        </w:rPr>
        <w:t>B- Giderlerin İncelenmesi</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Türkiye Müdafaa-i Hukuk Partisi Genel Merkezi'nin 2008 yılı giderleri toplamı 12.548,59 YTL gösterilmiştir. </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Bu tutar, 3.450,00 YTL personel gideri ve 9.098,59 YTL diğer giderlerden oluşmaktadır.</w:t>
      </w:r>
    </w:p>
    <w:p w:rsidR="006B232B" w:rsidRPr="006B232B" w:rsidRDefault="006B232B" w:rsidP="006B232B">
      <w:pPr>
        <w:spacing w:after="200"/>
        <w:ind w:left="283" w:right="283" w:firstLine="709"/>
        <w:jc w:val="both"/>
        <w:rPr>
          <w:color w:val="010000"/>
        </w:rPr>
      </w:pPr>
      <w:r w:rsidRPr="006B232B">
        <w:rPr>
          <w:color w:val="010000"/>
          <w:szCs w:val="26"/>
        </w:rPr>
        <w:lastRenderedPageBreak/>
        <w:t xml:space="preserve"> </w:t>
      </w:r>
      <w:r w:rsidRPr="006B232B">
        <w:rPr>
          <w:color w:val="010000"/>
          <w:szCs w:val="26"/>
        </w:rPr>
        <w:t>Genel Merkezi'nin 2009 yılına devreden kasa ve banka mevcudu 1.879,97 YTL'dir.</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Genel Merkez'in defter kayıtları ve gider belgeleri üzerinde yapılan incelemede, giderlerin 2820 sayılı Yasa'ya uygun olarak gerçekleştirildiği sonucuna varılmıştır.</w:t>
      </w:r>
    </w:p>
    <w:p w:rsidR="006B232B" w:rsidRPr="006B232B" w:rsidRDefault="006B232B" w:rsidP="006B232B">
      <w:pPr>
        <w:spacing w:after="200"/>
        <w:ind w:left="283" w:right="283" w:firstLine="709"/>
        <w:jc w:val="both"/>
        <w:rPr>
          <w:color w:val="010000"/>
        </w:rPr>
      </w:pPr>
      <w:r w:rsidRPr="006B232B">
        <w:rPr>
          <w:b/>
          <w:bCs/>
          <w:color w:val="010000"/>
          <w:szCs w:val="26"/>
        </w:rPr>
        <w:t xml:space="preserve"> </w:t>
      </w:r>
      <w:r w:rsidRPr="006B232B">
        <w:rPr>
          <w:b/>
          <w:bCs/>
          <w:color w:val="010000"/>
          <w:szCs w:val="26"/>
        </w:rPr>
        <w:t>C- Parti Mallarının İncelenmesi</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Parti'nin 2008 yılında taşınır veya taşınmaz mal edinmediği anlaşılmıştır.</w:t>
      </w:r>
    </w:p>
    <w:p w:rsidR="006B232B" w:rsidRPr="006B232B" w:rsidRDefault="006B232B" w:rsidP="006B232B">
      <w:pPr>
        <w:overflowPunct w:val="0"/>
        <w:autoSpaceDE w:val="0"/>
        <w:autoSpaceDN w:val="0"/>
        <w:spacing w:after="200"/>
        <w:ind w:left="283" w:right="283" w:firstLine="709"/>
        <w:jc w:val="both"/>
        <w:rPr>
          <w:color w:val="010000"/>
        </w:rPr>
      </w:pPr>
      <w:r w:rsidRPr="006B232B">
        <w:rPr>
          <w:b/>
          <w:bCs/>
          <w:color w:val="010000"/>
          <w:szCs w:val="26"/>
        </w:rPr>
        <w:t>IV- SONUÇ</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Türkiye Müdafaa-i Hukuk Partisi'nin 2008 yılı düzeltilmiş </w:t>
      </w:r>
      <w:proofErr w:type="spellStart"/>
      <w:r w:rsidRPr="006B232B">
        <w:rPr>
          <w:color w:val="010000"/>
          <w:szCs w:val="26"/>
        </w:rPr>
        <w:t>kesinhesabının</w:t>
      </w:r>
      <w:proofErr w:type="spellEnd"/>
      <w:r w:rsidRPr="006B232B">
        <w:rPr>
          <w:color w:val="010000"/>
          <w:szCs w:val="26"/>
        </w:rPr>
        <w:t xml:space="preserve"> incelenmesi sonucunda,</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 xml:space="preserve">Parti'nin 2008 yılı </w:t>
      </w:r>
      <w:proofErr w:type="spellStart"/>
      <w:r w:rsidRPr="006B232B">
        <w:rPr>
          <w:color w:val="010000"/>
          <w:szCs w:val="26"/>
        </w:rPr>
        <w:t>kesinhesabında</w:t>
      </w:r>
      <w:proofErr w:type="spellEnd"/>
      <w:r w:rsidRPr="006B232B">
        <w:rPr>
          <w:color w:val="010000"/>
          <w:szCs w:val="26"/>
        </w:rPr>
        <w:t xml:space="preserve"> gösterilen 6.176,43 YTL gelir, 8.252,13 YTL borç, 12.548,59 YTL gider ve 1.879,97 YTL kasa ve banka mevcudu devrinin eldeki bilgi ve belgelere göre doğru, denk ve 2820 sayılı Siyasî Partiler Kanunu'na uygun olduğuna,</w:t>
      </w:r>
    </w:p>
    <w:p w:rsidR="006B232B" w:rsidRPr="006B232B" w:rsidRDefault="006B232B" w:rsidP="006B232B">
      <w:pPr>
        <w:spacing w:after="200"/>
        <w:ind w:left="283" w:right="283" w:firstLine="709"/>
        <w:jc w:val="both"/>
        <w:rPr>
          <w:color w:val="010000"/>
        </w:rPr>
      </w:pPr>
      <w:r w:rsidRPr="006B232B">
        <w:rPr>
          <w:color w:val="010000"/>
          <w:szCs w:val="26"/>
        </w:rPr>
        <w:t xml:space="preserve"> </w:t>
      </w:r>
      <w:r w:rsidRPr="006B232B">
        <w:rPr>
          <w:color w:val="010000"/>
          <w:szCs w:val="26"/>
        </w:rPr>
        <w:t>28.9.2011 gününde OYBİRLİĞİYLE karar verildi.</w:t>
      </w:r>
    </w:p>
    <w:p w:rsidR="006B232B" w:rsidRDefault="006B232B"/>
    <w:tbl>
      <w:tblPr>
        <w:tblW w:w="5000" w:type="pct"/>
        <w:jc w:val="center"/>
        <w:tblCellMar>
          <w:left w:w="0" w:type="dxa"/>
          <w:right w:w="0" w:type="dxa"/>
        </w:tblCellMar>
        <w:tblLook w:val="04A0" w:firstRow="1" w:lastRow="0" w:firstColumn="1" w:lastColumn="0" w:noHBand="0" w:noVBand="1"/>
      </w:tblPr>
      <w:tblGrid>
        <w:gridCol w:w="3241"/>
        <w:gridCol w:w="1578"/>
        <w:gridCol w:w="1665"/>
        <w:gridCol w:w="3296"/>
      </w:tblGrid>
      <w:tr w:rsidR="006B232B" w:rsidRPr="006B232B" w:rsidTr="006B232B">
        <w:trPr>
          <w:jc w:val="center"/>
        </w:trPr>
        <w:tc>
          <w:tcPr>
            <w:tcW w:w="1657" w:type="pct"/>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Başkan</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Haşim KILIÇ</w:t>
            </w:r>
          </w:p>
        </w:tc>
        <w:tc>
          <w:tcPr>
            <w:tcW w:w="1658"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Başkanvekili</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 xml:space="preserve">Osman </w:t>
            </w:r>
            <w:proofErr w:type="spellStart"/>
            <w:r w:rsidRPr="006B232B">
              <w:rPr>
                <w:color w:val="010000"/>
                <w:szCs w:val="26"/>
              </w:rPr>
              <w:t>Alifeyyaz</w:t>
            </w:r>
            <w:proofErr w:type="spellEnd"/>
            <w:r w:rsidRPr="006B232B">
              <w:rPr>
                <w:color w:val="010000"/>
                <w:szCs w:val="26"/>
              </w:rPr>
              <w:t xml:space="preserve"> PAKSÜT</w:t>
            </w:r>
          </w:p>
        </w:tc>
        <w:tc>
          <w:tcPr>
            <w:tcW w:w="1684" w:type="pct"/>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Fulya KANTARCIOĞLU</w:t>
            </w:r>
          </w:p>
        </w:tc>
      </w:tr>
      <w:tr w:rsidR="006B232B" w:rsidRPr="006B232B" w:rsidTr="006B232B">
        <w:trPr>
          <w:jc w:val="center"/>
        </w:trPr>
        <w:tc>
          <w:tcPr>
            <w:tcW w:w="1657" w:type="pct"/>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Ahmet AKYALÇIN</w:t>
            </w:r>
          </w:p>
        </w:tc>
        <w:tc>
          <w:tcPr>
            <w:tcW w:w="1658"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Mehmet ERTEN</w:t>
            </w:r>
          </w:p>
        </w:tc>
        <w:tc>
          <w:tcPr>
            <w:tcW w:w="1684" w:type="pct"/>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Fettah OTO</w:t>
            </w:r>
          </w:p>
        </w:tc>
      </w:tr>
      <w:tr w:rsidR="006B232B" w:rsidRPr="006B232B" w:rsidTr="006B232B">
        <w:trPr>
          <w:jc w:val="center"/>
        </w:trPr>
        <w:tc>
          <w:tcPr>
            <w:tcW w:w="1657" w:type="pct"/>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Serdar ÖZGÜLDÜR</w:t>
            </w:r>
          </w:p>
        </w:tc>
        <w:tc>
          <w:tcPr>
            <w:tcW w:w="1658"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Recep KÖMÜRCÜ</w:t>
            </w:r>
          </w:p>
        </w:tc>
        <w:tc>
          <w:tcPr>
            <w:tcW w:w="1684" w:type="pct"/>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Engin YILDIRIM</w:t>
            </w:r>
          </w:p>
        </w:tc>
      </w:tr>
      <w:tr w:rsidR="006B232B" w:rsidRPr="006B232B" w:rsidTr="006B232B">
        <w:trPr>
          <w:trHeight w:val="80"/>
          <w:jc w:val="center"/>
        </w:trPr>
        <w:tc>
          <w:tcPr>
            <w:tcW w:w="2464"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bookmarkStart w:id="0" w:name="_GoBack"/>
            <w:bookmarkEnd w:id="0"/>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Nuri NECİPOĞLU</w:t>
            </w:r>
          </w:p>
        </w:tc>
        <w:tc>
          <w:tcPr>
            <w:tcW w:w="2536"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proofErr w:type="spellStart"/>
            <w:r w:rsidRPr="006B232B">
              <w:rPr>
                <w:color w:val="010000"/>
                <w:szCs w:val="26"/>
              </w:rPr>
              <w:t>Hicabi</w:t>
            </w:r>
            <w:proofErr w:type="spellEnd"/>
            <w:r w:rsidRPr="006B232B">
              <w:rPr>
                <w:color w:val="010000"/>
                <w:szCs w:val="26"/>
              </w:rPr>
              <w:t xml:space="preserve"> DURSUN</w:t>
            </w:r>
          </w:p>
        </w:tc>
      </w:tr>
      <w:tr w:rsidR="006B232B" w:rsidRPr="006B232B" w:rsidTr="006B232B">
        <w:trPr>
          <w:jc w:val="center"/>
        </w:trPr>
        <w:tc>
          <w:tcPr>
            <w:tcW w:w="2464"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Celal Mümtaz AKINCI</w:t>
            </w:r>
          </w:p>
        </w:tc>
        <w:tc>
          <w:tcPr>
            <w:tcW w:w="2536" w:type="pct"/>
            <w:gridSpan w:val="2"/>
            <w:tcMar>
              <w:top w:w="0" w:type="dxa"/>
              <w:left w:w="108" w:type="dxa"/>
              <w:bottom w:w="0" w:type="dxa"/>
              <w:right w:w="108" w:type="dxa"/>
            </w:tcMar>
            <w:hideMark/>
          </w:tcPr>
          <w:p w:rsidR="006B232B" w:rsidRPr="006B232B" w:rsidRDefault="006B232B" w:rsidP="006B232B">
            <w:pPr>
              <w:overflowPunct w:val="0"/>
              <w:autoSpaceDE w:val="0"/>
              <w:autoSpaceDN w:val="0"/>
              <w:spacing w:before="240" w:after="240"/>
              <w:jc w:val="center"/>
              <w:rPr>
                <w:color w:val="010000"/>
              </w:rPr>
            </w:pPr>
            <w:r w:rsidRPr="006B232B">
              <w:rPr>
                <w:color w:val="010000"/>
                <w:szCs w:val="26"/>
              </w:rPr>
              <w:t>Üye</w:t>
            </w:r>
          </w:p>
          <w:p w:rsidR="006B232B" w:rsidRPr="006B232B" w:rsidRDefault="006B232B" w:rsidP="006B232B">
            <w:pPr>
              <w:overflowPunct w:val="0"/>
              <w:autoSpaceDE w:val="0"/>
              <w:autoSpaceDN w:val="0"/>
              <w:spacing w:before="240" w:after="240"/>
              <w:jc w:val="center"/>
              <w:rPr>
                <w:color w:val="010000"/>
              </w:rPr>
            </w:pPr>
            <w:r w:rsidRPr="006B232B">
              <w:rPr>
                <w:color w:val="010000"/>
                <w:szCs w:val="26"/>
              </w:rPr>
              <w:t>Erdal TERCAN</w:t>
            </w:r>
          </w:p>
        </w:tc>
      </w:tr>
    </w:tbl>
    <w:p w:rsidR="006B232B" w:rsidRPr="006B232B" w:rsidRDefault="006B232B" w:rsidP="006B232B">
      <w:pPr>
        <w:spacing w:after="200"/>
        <w:ind w:left="283" w:right="283" w:firstLine="709"/>
        <w:jc w:val="both"/>
        <w:rPr>
          <w:rFonts w:eastAsia="Times New Roman"/>
          <w:color w:val="010000"/>
        </w:rPr>
      </w:pPr>
    </w:p>
    <w:sectPr w:rsidR="006B232B" w:rsidRPr="006B232B" w:rsidSect="006B232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363" w:rsidRDefault="002A5363" w:rsidP="006B232B">
      <w:r>
        <w:separator/>
      </w:r>
    </w:p>
  </w:endnote>
  <w:endnote w:type="continuationSeparator" w:id="0">
    <w:p w:rsidR="002A5363" w:rsidRDefault="002A5363" w:rsidP="006B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32B" w:rsidRDefault="006B232B" w:rsidP="001D7D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B232B" w:rsidRDefault="006B232B" w:rsidP="006B232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32B" w:rsidRPr="006B232B" w:rsidRDefault="006B232B" w:rsidP="001D7D80">
    <w:pPr>
      <w:pStyle w:val="AltBilgi"/>
      <w:framePr w:wrap="around" w:vAnchor="text" w:hAnchor="margin" w:xAlign="right" w:y="1"/>
      <w:rPr>
        <w:rStyle w:val="SayfaNumaras"/>
      </w:rPr>
    </w:pPr>
    <w:r w:rsidRPr="006B232B">
      <w:rPr>
        <w:rStyle w:val="SayfaNumaras"/>
      </w:rPr>
      <w:fldChar w:fldCharType="begin"/>
    </w:r>
    <w:r w:rsidRPr="006B232B">
      <w:rPr>
        <w:rStyle w:val="SayfaNumaras"/>
      </w:rPr>
      <w:instrText xml:space="preserve"> PAGE </w:instrText>
    </w:r>
    <w:r w:rsidRPr="006B232B">
      <w:rPr>
        <w:rStyle w:val="SayfaNumaras"/>
      </w:rPr>
      <w:fldChar w:fldCharType="separate"/>
    </w:r>
    <w:r w:rsidRPr="006B232B">
      <w:rPr>
        <w:rStyle w:val="SayfaNumaras"/>
        <w:noProof/>
      </w:rPr>
      <w:t>1</w:t>
    </w:r>
    <w:r w:rsidRPr="006B232B">
      <w:rPr>
        <w:rStyle w:val="SayfaNumaras"/>
      </w:rPr>
      <w:fldChar w:fldCharType="end"/>
    </w:r>
  </w:p>
  <w:p w:rsidR="006B232B" w:rsidRDefault="006B232B" w:rsidP="006B232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363" w:rsidRDefault="002A5363" w:rsidP="006B232B">
      <w:r>
        <w:separator/>
      </w:r>
    </w:p>
  </w:footnote>
  <w:footnote w:type="continuationSeparator" w:id="0">
    <w:p w:rsidR="002A5363" w:rsidRDefault="002A5363" w:rsidP="006B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32B" w:rsidRPr="006B232B" w:rsidRDefault="006B232B" w:rsidP="006B232B">
    <w:pPr>
      <w:pStyle w:val="stBilgi"/>
      <w:rPr>
        <w:b/>
      </w:rPr>
    </w:pPr>
    <w:r w:rsidRPr="006B232B">
      <w:rPr>
        <w:b/>
      </w:rPr>
      <w:t>Esas Sayısı:2009/25 (Siyasî Parti Malî Denetimi)</w:t>
    </w:r>
  </w:p>
  <w:p w:rsidR="006B232B" w:rsidRDefault="006B232B" w:rsidP="006B232B">
    <w:pPr>
      <w:pStyle w:val="stBilgi"/>
      <w:rPr>
        <w:b/>
      </w:rPr>
    </w:pPr>
    <w:r>
      <w:rPr>
        <w:b/>
      </w:rPr>
      <w:t>Karar Sayısı:2011/31</w:t>
    </w:r>
  </w:p>
  <w:p w:rsidR="006B232B" w:rsidRPr="006B232B" w:rsidRDefault="006B232B" w:rsidP="006B232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2B"/>
    <w:rsid w:val="002A5363"/>
    <w:rsid w:val="006B232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BD393-4491-4E4B-B6B5-7347A7F0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32B"/>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232B"/>
    <w:pPr>
      <w:tabs>
        <w:tab w:val="center" w:pos="4536"/>
        <w:tab w:val="right" w:pos="9072"/>
      </w:tabs>
    </w:pPr>
  </w:style>
  <w:style w:type="character" w:customStyle="1" w:styleId="stBilgiChar">
    <w:name w:val="Üst Bilgi Char"/>
    <w:basedOn w:val="VarsaylanParagrafYazTipi"/>
    <w:link w:val="stBilgi"/>
    <w:uiPriority w:val="99"/>
    <w:rsid w:val="006B232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B232B"/>
    <w:pPr>
      <w:tabs>
        <w:tab w:val="center" w:pos="4536"/>
        <w:tab w:val="right" w:pos="9072"/>
      </w:tabs>
    </w:pPr>
  </w:style>
  <w:style w:type="character" w:customStyle="1" w:styleId="AltBilgiChar">
    <w:name w:val="Alt Bilgi Char"/>
    <w:basedOn w:val="VarsaylanParagrafYazTipi"/>
    <w:link w:val="AltBilgi"/>
    <w:uiPriority w:val="99"/>
    <w:rsid w:val="006B232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B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2020-06-14T09:26:00Z</dcterms:created>
  <dcterms:modified xsi:type="dcterms:W3CDTF">2020-06-14T09:27:00Z</dcterms:modified>
</cp:coreProperties>
</file>