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41D8" w:rsidRDefault="009941D8" w:rsidP="009941D8">
      <w:pPr>
        <w:spacing w:after="200"/>
        <w:ind w:left="283" w:right="283"/>
        <w:jc w:val="center"/>
        <w:rPr>
          <w:b/>
          <w:bCs/>
          <w:caps/>
          <w:color w:val="010000"/>
          <w:szCs w:val="26"/>
        </w:rPr>
      </w:pPr>
      <w:r w:rsidRPr="009941D8">
        <w:rPr>
          <w:b/>
          <w:bCs/>
          <w:caps/>
          <w:color w:val="010000"/>
          <w:szCs w:val="26"/>
        </w:rPr>
        <w:t>ANAYASA MAHKEMESİ KARARI</w:t>
      </w:r>
    </w:p>
    <w:p w:rsidR="009941D8" w:rsidRPr="009941D8" w:rsidRDefault="009941D8" w:rsidP="009941D8">
      <w:pPr>
        <w:spacing w:after="200"/>
        <w:ind w:left="283" w:right="283" w:firstLine="709"/>
        <w:jc w:val="center"/>
        <w:rPr>
          <w:b/>
          <w:caps/>
          <w:color w:val="010000"/>
        </w:rPr>
      </w:pPr>
    </w:p>
    <w:p w:rsidR="009941D8" w:rsidRDefault="009941D8" w:rsidP="009941D8">
      <w:pPr>
        <w:rPr>
          <w:b/>
          <w:bCs/>
          <w:color w:val="010000"/>
          <w:szCs w:val="26"/>
        </w:rPr>
      </w:pPr>
      <w:r>
        <w:rPr>
          <w:b/>
          <w:bCs/>
          <w:color w:val="010000"/>
          <w:szCs w:val="26"/>
        </w:rPr>
        <w:t>Esas Sayısı:2008/23 (Siyasî Parti Malî Denetimi)</w:t>
      </w:r>
    </w:p>
    <w:p w:rsidR="009941D8" w:rsidRDefault="009941D8" w:rsidP="009941D8">
      <w:pPr>
        <w:rPr>
          <w:b/>
          <w:color w:val="010000"/>
        </w:rPr>
      </w:pPr>
      <w:r>
        <w:rPr>
          <w:b/>
          <w:color w:val="010000"/>
        </w:rPr>
        <w:t>Karar Sayısı:2009/42</w:t>
      </w:r>
    </w:p>
    <w:p w:rsidR="009941D8" w:rsidRDefault="009941D8" w:rsidP="009941D8">
      <w:pPr>
        <w:rPr>
          <w:b/>
          <w:color w:val="010000"/>
        </w:rPr>
      </w:pPr>
      <w:r>
        <w:rPr>
          <w:b/>
          <w:color w:val="010000"/>
        </w:rPr>
        <w:t>Karar Günü:16.7.2009</w:t>
      </w:r>
    </w:p>
    <w:p w:rsidR="009941D8" w:rsidRDefault="009941D8" w:rsidP="009941D8">
      <w:pPr>
        <w:rPr>
          <w:b/>
          <w:color w:val="010000"/>
        </w:rPr>
      </w:pPr>
      <w:r>
        <w:rPr>
          <w:b/>
          <w:color w:val="010000"/>
        </w:rPr>
        <w:t>R.G. Tarih-Sayı:03.10.2009-27365</w:t>
      </w:r>
    </w:p>
    <w:p w:rsidR="009941D8" w:rsidRPr="009941D8" w:rsidRDefault="009941D8" w:rsidP="009941D8">
      <w:pPr>
        <w:rPr>
          <w:b/>
          <w:color w:val="010000"/>
        </w:rPr>
      </w:pPr>
    </w:p>
    <w:p w:rsidR="009941D8" w:rsidRPr="009941D8" w:rsidRDefault="009941D8" w:rsidP="009941D8">
      <w:pPr>
        <w:spacing w:after="200"/>
        <w:ind w:left="283" w:right="283" w:firstLine="709"/>
        <w:jc w:val="both"/>
        <w:rPr>
          <w:color w:val="010000"/>
        </w:rPr>
      </w:pPr>
      <w:r w:rsidRPr="009941D8">
        <w:rPr>
          <w:b/>
          <w:bCs/>
          <w:color w:val="010000"/>
          <w:szCs w:val="26"/>
        </w:rPr>
        <w:t>I- MALİ DENETİMİN KONUSU</w:t>
      </w:r>
    </w:p>
    <w:p w:rsidR="009941D8" w:rsidRPr="009941D8" w:rsidRDefault="009941D8" w:rsidP="009941D8">
      <w:pPr>
        <w:spacing w:after="200"/>
        <w:ind w:left="283" w:right="283" w:firstLine="709"/>
        <w:jc w:val="both"/>
        <w:rPr>
          <w:color w:val="010000"/>
        </w:rPr>
      </w:pPr>
      <w:r w:rsidRPr="009941D8">
        <w:rPr>
          <w:color w:val="010000"/>
          <w:szCs w:val="26"/>
        </w:rPr>
        <w:t xml:space="preserve">Vatanseverler Partisi'nin 2007 yılı </w:t>
      </w:r>
      <w:proofErr w:type="spellStart"/>
      <w:r w:rsidRPr="009941D8">
        <w:rPr>
          <w:color w:val="010000"/>
          <w:szCs w:val="26"/>
        </w:rPr>
        <w:t>kesinhesabının</w:t>
      </w:r>
      <w:proofErr w:type="spellEnd"/>
      <w:r w:rsidRPr="009941D8">
        <w:rPr>
          <w:color w:val="010000"/>
          <w:szCs w:val="26"/>
        </w:rPr>
        <w:t xml:space="preserve"> incelenmesidir.</w:t>
      </w:r>
    </w:p>
    <w:p w:rsidR="009941D8" w:rsidRPr="009941D8" w:rsidRDefault="009941D8" w:rsidP="009941D8">
      <w:pPr>
        <w:spacing w:after="200"/>
        <w:ind w:left="283" w:right="283" w:firstLine="709"/>
        <w:jc w:val="both"/>
        <w:rPr>
          <w:color w:val="010000"/>
        </w:rPr>
      </w:pPr>
      <w:r w:rsidRPr="009941D8">
        <w:rPr>
          <w:b/>
          <w:bCs/>
          <w:color w:val="010000"/>
          <w:szCs w:val="26"/>
        </w:rPr>
        <w:t>II- İLK İNCELEME</w:t>
      </w:r>
    </w:p>
    <w:p w:rsidR="009941D8" w:rsidRPr="009941D8" w:rsidRDefault="009941D8" w:rsidP="009941D8">
      <w:pPr>
        <w:spacing w:after="200"/>
        <w:ind w:left="283" w:right="283" w:firstLine="709"/>
        <w:jc w:val="both"/>
        <w:rPr>
          <w:color w:val="010000"/>
        </w:rPr>
      </w:pPr>
      <w:r w:rsidRPr="009941D8">
        <w:rPr>
          <w:color w:val="010000"/>
          <w:szCs w:val="26"/>
        </w:rPr>
        <w:t xml:space="preserve">Anayasa Mahkemesi İçtüzüğü'nün 16. Maddesi uyarınca, Haşim KILIÇ, Osman </w:t>
      </w:r>
      <w:proofErr w:type="spellStart"/>
      <w:r w:rsidRPr="009941D8">
        <w:rPr>
          <w:color w:val="010000"/>
          <w:szCs w:val="26"/>
        </w:rPr>
        <w:t>Alifeyyaz</w:t>
      </w:r>
      <w:proofErr w:type="spellEnd"/>
      <w:r w:rsidRPr="009941D8">
        <w:rPr>
          <w:color w:val="010000"/>
          <w:szCs w:val="26"/>
        </w:rPr>
        <w:t xml:space="preserve"> PAKSÜT, </w:t>
      </w:r>
      <w:proofErr w:type="spellStart"/>
      <w:r w:rsidRPr="009941D8">
        <w:rPr>
          <w:color w:val="010000"/>
          <w:szCs w:val="26"/>
        </w:rPr>
        <w:t>Sacit</w:t>
      </w:r>
      <w:proofErr w:type="spellEnd"/>
      <w:r w:rsidRPr="009941D8">
        <w:rPr>
          <w:color w:val="010000"/>
          <w:szCs w:val="26"/>
        </w:rPr>
        <w:t xml:space="preserve"> ADALI, Fulya KANTARCIOĞLU, Ahmet AKYALÇIN, Mehmet ERTEN, A. Necmi ÖZLER, Serdar ÖZGÜLDÜR, Şevket APALAK, </w:t>
      </w:r>
      <w:proofErr w:type="spellStart"/>
      <w:r w:rsidRPr="009941D8">
        <w:rPr>
          <w:color w:val="010000"/>
          <w:szCs w:val="26"/>
        </w:rPr>
        <w:t>Serruh</w:t>
      </w:r>
      <w:proofErr w:type="spellEnd"/>
      <w:r w:rsidRPr="009941D8">
        <w:rPr>
          <w:color w:val="010000"/>
          <w:szCs w:val="26"/>
        </w:rPr>
        <w:t xml:space="preserve"> KALELİ ve Zehra Ayla </w:t>
      </w:r>
      <w:proofErr w:type="spellStart"/>
      <w:r w:rsidRPr="009941D8">
        <w:rPr>
          <w:color w:val="010000"/>
          <w:szCs w:val="26"/>
        </w:rPr>
        <w:t>PERKTAŞ'ın</w:t>
      </w:r>
      <w:proofErr w:type="spellEnd"/>
      <w:r w:rsidRPr="009941D8">
        <w:rPr>
          <w:color w:val="010000"/>
          <w:szCs w:val="26"/>
        </w:rPr>
        <w:t xml:space="preserve"> katılmalarıyla 13.5.2009 gününde yapılan ilk inceleme toplantısında;</w:t>
      </w:r>
    </w:p>
    <w:p w:rsidR="009941D8" w:rsidRPr="009941D8" w:rsidRDefault="009941D8" w:rsidP="009941D8">
      <w:pPr>
        <w:pStyle w:val="GvdeMetni2"/>
        <w:spacing w:before="0" w:beforeAutospacing="0" w:after="200" w:afterAutospacing="0" w:line="240" w:lineRule="auto"/>
        <w:ind w:left="283" w:right="283" w:firstLine="709"/>
        <w:jc w:val="both"/>
        <w:rPr>
          <w:color w:val="010000"/>
        </w:rPr>
      </w:pPr>
      <w:r w:rsidRPr="009941D8">
        <w:rPr>
          <w:color w:val="010000"/>
          <w:szCs w:val="26"/>
        </w:rPr>
        <w:t xml:space="preserve">Vatanseverler Partisi'nin 2007 yılı </w:t>
      </w:r>
      <w:proofErr w:type="spellStart"/>
      <w:r w:rsidRPr="009941D8">
        <w:rPr>
          <w:color w:val="010000"/>
          <w:szCs w:val="26"/>
        </w:rPr>
        <w:t>kesinhesabının</w:t>
      </w:r>
      <w:proofErr w:type="spellEnd"/>
      <w:r w:rsidRPr="009941D8">
        <w:rPr>
          <w:color w:val="010000"/>
          <w:szCs w:val="26"/>
        </w:rPr>
        <w:t xml:space="preserve"> incelenmesi sonucunda </w:t>
      </w:r>
      <w:r w:rsidRPr="009941D8">
        <w:rPr>
          <w:i/>
          <w:iCs/>
          <w:color w:val="010000"/>
          <w:szCs w:val="26"/>
        </w:rPr>
        <w:t>'Dosyada eksiklik bulunmadığından işin esasının incelenmesine, 13.5.2009 gününde oybirliğiyle'</w:t>
      </w:r>
      <w:r w:rsidRPr="009941D8">
        <w:rPr>
          <w:color w:val="010000"/>
          <w:szCs w:val="26"/>
        </w:rPr>
        <w:t xml:space="preserve"> karar verilmiştir.</w:t>
      </w:r>
    </w:p>
    <w:p w:rsidR="009941D8" w:rsidRPr="009941D8" w:rsidRDefault="009941D8" w:rsidP="009941D8">
      <w:pPr>
        <w:spacing w:after="200"/>
        <w:ind w:left="283" w:right="283" w:firstLine="709"/>
        <w:jc w:val="both"/>
        <w:rPr>
          <w:color w:val="010000"/>
        </w:rPr>
      </w:pPr>
      <w:r w:rsidRPr="009941D8">
        <w:rPr>
          <w:b/>
          <w:bCs/>
          <w:color w:val="010000"/>
          <w:szCs w:val="26"/>
        </w:rPr>
        <w:t>III- ESASIN İNCELENMESİ</w:t>
      </w:r>
    </w:p>
    <w:p w:rsidR="009941D8" w:rsidRPr="009941D8" w:rsidRDefault="009941D8" w:rsidP="009941D8">
      <w:pPr>
        <w:spacing w:after="200"/>
        <w:ind w:left="283" w:right="283" w:firstLine="709"/>
        <w:jc w:val="both"/>
        <w:rPr>
          <w:color w:val="010000"/>
        </w:rPr>
      </w:pPr>
      <w:r w:rsidRPr="009941D8">
        <w:rPr>
          <w:color w:val="010000"/>
          <w:szCs w:val="26"/>
        </w:rPr>
        <w:t xml:space="preserve">Parti'nin Anayasa Mahkemesi'ne verdiği 2007 yılı </w:t>
      </w:r>
      <w:proofErr w:type="spellStart"/>
      <w:r w:rsidRPr="009941D8">
        <w:rPr>
          <w:color w:val="010000"/>
          <w:szCs w:val="26"/>
        </w:rPr>
        <w:t>kesinhesap</w:t>
      </w:r>
      <w:proofErr w:type="spellEnd"/>
      <w:r w:rsidRPr="009941D8">
        <w:rPr>
          <w:color w:val="010000"/>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Siyasi Partiler Kanunu'nun ilgili kuralları, bunların gerekçeleri ve diğer yasama belgeleri okunup incelendikten sonra gereği görüşülüp düşünüldü:</w:t>
      </w:r>
    </w:p>
    <w:p w:rsidR="009941D8" w:rsidRPr="009941D8" w:rsidRDefault="009941D8" w:rsidP="009941D8">
      <w:pPr>
        <w:spacing w:after="200"/>
        <w:ind w:left="283" w:right="283" w:firstLine="709"/>
        <w:jc w:val="both"/>
        <w:rPr>
          <w:color w:val="010000"/>
        </w:rPr>
      </w:pPr>
      <w:r w:rsidRPr="009941D8">
        <w:rPr>
          <w:color w:val="010000"/>
          <w:szCs w:val="26"/>
        </w:rPr>
        <w:t xml:space="preserve">Denetimin maddi öğelerini oluşturan defter ve belgelerde Parti'nin Genel Merkezi ile 28 il ve il örgütü bulunmayan 3 ilçe örgütünün 2007 yılı gelirlerinin 79.982,00 YTL, giderlerinin 79.980,55 YTL, gelir fazlası nakit devrinin 1,45 YTL olduğu, gelir ile gider ve nakit devir rakamlarının toplamının birbirine denk olduğu görülmüştür. </w:t>
      </w:r>
    </w:p>
    <w:p w:rsidR="009941D8" w:rsidRPr="009941D8" w:rsidRDefault="009941D8" w:rsidP="009941D8">
      <w:pPr>
        <w:spacing w:after="200"/>
        <w:ind w:left="283" w:right="283" w:firstLine="709"/>
        <w:jc w:val="both"/>
        <w:rPr>
          <w:color w:val="010000"/>
        </w:rPr>
      </w:pPr>
      <w:r w:rsidRPr="009941D8">
        <w:rPr>
          <w:b/>
          <w:bCs/>
          <w:color w:val="010000"/>
          <w:szCs w:val="26"/>
        </w:rPr>
        <w:t>B- Gelirlerin İncelenmesi</w:t>
      </w:r>
    </w:p>
    <w:p w:rsidR="009941D8" w:rsidRPr="009941D8" w:rsidRDefault="009941D8" w:rsidP="009941D8">
      <w:pPr>
        <w:spacing w:after="200"/>
        <w:ind w:left="283" w:right="283" w:firstLine="709"/>
        <w:jc w:val="both"/>
        <w:rPr>
          <w:color w:val="010000"/>
        </w:rPr>
      </w:pPr>
      <w:r w:rsidRPr="009941D8">
        <w:rPr>
          <w:b/>
          <w:bCs/>
          <w:color w:val="010000"/>
          <w:szCs w:val="26"/>
        </w:rPr>
        <w:t>1- Genel Merkez Gelirleri</w:t>
      </w:r>
    </w:p>
    <w:p w:rsidR="009941D8" w:rsidRPr="009941D8" w:rsidRDefault="009941D8" w:rsidP="009941D8">
      <w:pPr>
        <w:spacing w:after="200"/>
        <w:ind w:left="283" w:right="283" w:firstLine="709"/>
        <w:jc w:val="both"/>
        <w:rPr>
          <w:color w:val="010000"/>
        </w:rPr>
      </w:pPr>
      <w:r w:rsidRPr="009941D8">
        <w:rPr>
          <w:color w:val="010000"/>
          <w:szCs w:val="26"/>
        </w:rPr>
        <w:t>Parti Genel Merkezi'nin gelirleri 79.005.-YTL olarak gösterilmiştir. Bunun 700.-YTL.si aidat, 78.305.- YTL.si ise bağış gelirleridir.</w:t>
      </w:r>
    </w:p>
    <w:p w:rsidR="009941D8" w:rsidRPr="009941D8" w:rsidRDefault="009941D8" w:rsidP="009941D8">
      <w:pPr>
        <w:spacing w:after="200"/>
        <w:ind w:left="283" w:right="283" w:firstLine="709"/>
        <w:jc w:val="both"/>
        <w:rPr>
          <w:color w:val="010000"/>
        </w:rPr>
      </w:pPr>
      <w:r w:rsidRPr="009941D8">
        <w:rPr>
          <w:color w:val="010000"/>
          <w:szCs w:val="26"/>
        </w:rPr>
        <w:t>Genel Merkezin defter kayıtları ve gelir belgeleri üzerinde yapılan incelemede, gelirlerin 2820 sayılı Yasa'ya uygun olarak sağlandığı sonucuna varılmıştır.</w:t>
      </w:r>
    </w:p>
    <w:p w:rsidR="009941D8" w:rsidRPr="009941D8" w:rsidRDefault="009941D8" w:rsidP="009941D8">
      <w:pPr>
        <w:spacing w:after="200"/>
        <w:ind w:left="283" w:right="283" w:firstLine="709"/>
        <w:jc w:val="both"/>
        <w:rPr>
          <w:color w:val="010000"/>
        </w:rPr>
      </w:pPr>
      <w:r w:rsidRPr="009941D8">
        <w:rPr>
          <w:b/>
          <w:bCs/>
          <w:color w:val="010000"/>
          <w:szCs w:val="26"/>
        </w:rPr>
        <w:t>2- İl ve İlçe Örgütleri Gelirleri</w:t>
      </w:r>
    </w:p>
    <w:p w:rsidR="009941D8" w:rsidRPr="009941D8" w:rsidRDefault="009941D8" w:rsidP="009941D8">
      <w:pPr>
        <w:spacing w:after="200"/>
        <w:ind w:left="283" w:right="283" w:firstLine="709"/>
        <w:jc w:val="both"/>
        <w:rPr>
          <w:color w:val="010000"/>
        </w:rPr>
      </w:pPr>
      <w:r w:rsidRPr="009941D8">
        <w:rPr>
          <w:color w:val="010000"/>
          <w:szCs w:val="26"/>
        </w:rPr>
        <w:t xml:space="preserve">Parti'nin il ve ilçe örgütlerinin gelirleri 977.-YTL olarak gösterilmiştir. Bunun 672.-YTL.si aidat, 305.- YTL.si ise bağış gelirleridir. </w:t>
      </w:r>
    </w:p>
    <w:p w:rsidR="009941D8" w:rsidRPr="009941D8" w:rsidRDefault="009941D8" w:rsidP="009941D8">
      <w:pPr>
        <w:spacing w:after="200"/>
        <w:ind w:left="283" w:right="283" w:firstLine="709"/>
        <w:jc w:val="both"/>
        <w:rPr>
          <w:color w:val="010000"/>
        </w:rPr>
      </w:pPr>
      <w:r w:rsidRPr="009941D8">
        <w:rPr>
          <w:color w:val="010000"/>
          <w:szCs w:val="26"/>
        </w:rPr>
        <w:t xml:space="preserve">İl ve ilçe örgütleri </w:t>
      </w:r>
      <w:proofErr w:type="spellStart"/>
      <w:r w:rsidRPr="009941D8">
        <w:rPr>
          <w:color w:val="010000"/>
          <w:szCs w:val="26"/>
        </w:rPr>
        <w:t>kesinhesap</w:t>
      </w:r>
      <w:proofErr w:type="spellEnd"/>
      <w:r w:rsidRPr="009941D8">
        <w:rPr>
          <w:color w:val="010000"/>
          <w:szCs w:val="26"/>
        </w:rPr>
        <w:t xml:space="preserve"> çizelgelerinin gelir bölümü üzerinde yapılan incelemede, gelirlerin Merkez Karar ve Yönetim Kurulu kararıyla doğruluğunun onaylandığı görülerek, 2820 sayılı Yasa'ya uygun olduğu sonucuna varılmıştır.</w:t>
      </w:r>
    </w:p>
    <w:p w:rsidR="009941D8" w:rsidRPr="009941D8" w:rsidRDefault="009941D8" w:rsidP="009941D8">
      <w:pPr>
        <w:overflowPunct w:val="0"/>
        <w:autoSpaceDE w:val="0"/>
        <w:autoSpaceDN w:val="0"/>
        <w:spacing w:after="200"/>
        <w:ind w:left="283" w:right="283" w:firstLine="709"/>
        <w:jc w:val="both"/>
        <w:rPr>
          <w:color w:val="010000"/>
        </w:rPr>
      </w:pPr>
      <w:r w:rsidRPr="009941D8">
        <w:rPr>
          <w:b/>
          <w:bCs/>
          <w:color w:val="010000"/>
          <w:szCs w:val="26"/>
        </w:rPr>
        <w:lastRenderedPageBreak/>
        <w:t>C-</w:t>
      </w:r>
      <w:r w:rsidRPr="009941D8">
        <w:rPr>
          <w:b/>
          <w:bCs/>
          <w:color w:val="010000"/>
          <w:szCs w:val="14"/>
        </w:rPr>
        <w:t xml:space="preserve"> </w:t>
      </w:r>
      <w:r w:rsidRPr="009941D8">
        <w:rPr>
          <w:b/>
          <w:bCs/>
          <w:color w:val="010000"/>
          <w:szCs w:val="26"/>
        </w:rPr>
        <w:t>Giderlerin İncelenmesi</w:t>
      </w:r>
    </w:p>
    <w:p w:rsidR="009941D8" w:rsidRPr="009941D8" w:rsidRDefault="009941D8" w:rsidP="009941D8">
      <w:pPr>
        <w:spacing w:after="200"/>
        <w:ind w:left="283" w:right="283" w:firstLine="709"/>
        <w:jc w:val="both"/>
        <w:rPr>
          <w:color w:val="010000"/>
        </w:rPr>
      </w:pPr>
      <w:r w:rsidRPr="009941D8">
        <w:rPr>
          <w:b/>
          <w:bCs/>
          <w:color w:val="010000"/>
          <w:szCs w:val="26"/>
        </w:rPr>
        <w:t>1- Genel Merkez Giderleri</w:t>
      </w:r>
    </w:p>
    <w:p w:rsidR="009941D8" w:rsidRPr="009941D8" w:rsidRDefault="009941D8" w:rsidP="009941D8">
      <w:pPr>
        <w:spacing w:after="200"/>
        <w:ind w:left="283" w:right="283" w:firstLine="709"/>
        <w:jc w:val="both"/>
        <w:rPr>
          <w:color w:val="010000"/>
        </w:rPr>
      </w:pPr>
      <w:r w:rsidRPr="009941D8">
        <w:rPr>
          <w:color w:val="010000"/>
          <w:szCs w:val="26"/>
        </w:rPr>
        <w:t xml:space="preserve">Parti Genel Merkezi'nin giderleri 79.003,55 YTL olarak gösterilmiştir. Bunun 78.158,93 YTL.si büro genel giderleri, 844,62 YTL.si demirbaş ve diğer giderleridir. </w:t>
      </w:r>
    </w:p>
    <w:p w:rsidR="009941D8" w:rsidRPr="009941D8" w:rsidRDefault="009941D8" w:rsidP="009941D8">
      <w:pPr>
        <w:spacing w:after="200"/>
        <w:ind w:left="283" w:right="283" w:firstLine="709"/>
        <w:jc w:val="both"/>
        <w:rPr>
          <w:color w:val="010000"/>
        </w:rPr>
      </w:pPr>
      <w:r w:rsidRPr="009941D8">
        <w:rPr>
          <w:color w:val="010000"/>
          <w:szCs w:val="26"/>
        </w:rPr>
        <w:t>Parti Genel Merkezi'nin 2008 yılına devreden nakit mevcudu 1,45.-YTL.dır.</w:t>
      </w:r>
    </w:p>
    <w:p w:rsidR="009941D8" w:rsidRPr="009941D8" w:rsidRDefault="009941D8" w:rsidP="009941D8">
      <w:pPr>
        <w:pStyle w:val="msobodytextindent"/>
        <w:spacing w:before="0" w:beforeAutospacing="0" w:after="200" w:afterAutospacing="0" w:line="240" w:lineRule="auto"/>
        <w:ind w:left="283" w:right="283" w:firstLine="709"/>
        <w:jc w:val="both"/>
        <w:rPr>
          <w:color w:val="010000"/>
        </w:rPr>
      </w:pPr>
      <w:r w:rsidRPr="009941D8">
        <w:rPr>
          <w:color w:val="010000"/>
          <w:szCs w:val="26"/>
        </w:rPr>
        <w:t>Genel Merkezin defter kayıtları ve gider belgeleri üzerinde yapılan incelemede, aşağıda belirtilenler dışında kalan giderlerin 2820 sayılı Yasa'ya uygun olarak gerçekleştirildiği sonucuna varılmıştır.</w:t>
      </w:r>
    </w:p>
    <w:p w:rsidR="009941D8" w:rsidRPr="009941D8" w:rsidRDefault="009941D8" w:rsidP="009941D8">
      <w:pPr>
        <w:spacing w:after="200"/>
        <w:ind w:left="283" w:right="283" w:firstLine="709"/>
        <w:jc w:val="both"/>
        <w:rPr>
          <w:color w:val="010000"/>
        </w:rPr>
      </w:pPr>
      <w:r w:rsidRPr="009941D8">
        <w:rPr>
          <w:b/>
          <w:bCs/>
          <w:color w:val="010000"/>
          <w:szCs w:val="26"/>
        </w:rPr>
        <w:t>1-</w:t>
      </w:r>
      <w:r w:rsidRPr="009941D8">
        <w:rPr>
          <w:color w:val="010000"/>
          <w:szCs w:val="26"/>
        </w:rPr>
        <w:t xml:space="preserve"> Türk Telekomünikasyon </w:t>
      </w:r>
      <w:proofErr w:type="spellStart"/>
      <w:r w:rsidRPr="009941D8">
        <w:rPr>
          <w:color w:val="010000"/>
          <w:szCs w:val="26"/>
        </w:rPr>
        <w:t>A.Ş.'ne</w:t>
      </w:r>
      <w:proofErr w:type="spellEnd"/>
      <w:r w:rsidRPr="009941D8">
        <w:rPr>
          <w:color w:val="010000"/>
          <w:szCs w:val="26"/>
        </w:rPr>
        <w:t xml:space="preserve"> yapılan haberleşme gideri ödemelerinde, aynı gidere ilişkin fatura ve tahsilat makbuzlarının (ayrıntısı aşağıda gösterildiği şekilde), ayrı ayrı deftere kaydedilmesi sonucu mükerrer gider kaydında bulunulduğu görülmüştür.</w:t>
      </w:r>
    </w:p>
    <w:tbl>
      <w:tblPr>
        <w:tblW w:w="5000" w:type="pct"/>
        <w:jc w:val="center"/>
        <w:tblCellMar>
          <w:left w:w="0" w:type="dxa"/>
          <w:right w:w="0" w:type="dxa"/>
        </w:tblCellMar>
        <w:tblLook w:val="04A0" w:firstRow="1" w:lastRow="0" w:firstColumn="1" w:lastColumn="0" w:noHBand="0" w:noVBand="1"/>
      </w:tblPr>
      <w:tblGrid>
        <w:gridCol w:w="1907"/>
        <w:gridCol w:w="2553"/>
        <w:gridCol w:w="1675"/>
        <w:gridCol w:w="1819"/>
        <w:gridCol w:w="1806"/>
      </w:tblGrid>
      <w:tr w:rsidR="009941D8" w:rsidRPr="009941D8" w:rsidTr="009941D8">
        <w:trPr>
          <w:trHeight w:val="135"/>
          <w:jc w:val="center"/>
        </w:trPr>
        <w:tc>
          <w:tcPr>
            <w:tcW w:w="977"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41D8" w:rsidRPr="009941D8" w:rsidRDefault="009941D8" w:rsidP="009941D8">
            <w:pPr>
              <w:overflowPunct w:val="0"/>
              <w:autoSpaceDE w:val="0"/>
              <w:autoSpaceDN w:val="0"/>
              <w:spacing w:after="120"/>
              <w:jc w:val="center"/>
              <w:rPr>
                <w:color w:val="010000"/>
              </w:rPr>
            </w:pPr>
            <w:r w:rsidRPr="009941D8">
              <w:rPr>
                <w:b/>
                <w:bCs/>
                <w:color w:val="010000"/>
              </w:rPr>
              <w:t>Telefon Numarası</w:t>
            </w:r>
          </w:p>
        </w:tc>
        <w:tc>
          <w:tcPr>
            <w:tcW w:w="3098"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941D8" w:rsidRPr="009941D8" w:rsidRDefault="009941D8" w:rsidP="009941D8">
            <w:pPr>
              <w:overflowPunct w:val="0"/>
              <w:autoSpaceDE w:val="0"/>
              <w:autoSpaceDN w:val="0"/>
              <w:spacing w:after="120"/>
              <w:jc w:val="center"/>
              <w:rPr>
                <w:color w:val="010000"/>
              </w:rPr>
            </w:pPr>
            <w:r w:rsidRPr="009941D8">
              <w:rPr>
                <w:b/>
                <w:bCs/>
                <w:color w:val="010000"/>
              </w:rPr>
              <w:t>Fatura</w:t>
            </w:r>
          </w:p>
        </w:tc>
        <w:tc>
          <w:tcPr>
            <w:tcW w:w="92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941D8" w:rsidRPr="009941D8" w:rsidRDefault="009941D8" w:rsidP="009941D8">
            <w:pPr>
              <w:overflowPunct w:val="0"/>
              <w:autoSpaceDE w:val="0"/>
              <w:autoSpaceDN w:val="0"/>
              <w:spacing w:after="120"/>
              <w:jc w:val="center"/>
              <w:rPr>
                <w:color w:val="010000"/>
              </w:rPr>
            </w:pPr>
            <w:r w:rsidRPr="009941D8">
              <w:rPr>
                <w:b/>
                <w:bCs/>
                <w:color w:val="010000"/>
              </w:rPr>
              <w:t>Defter Kayıt Sıra No</w:t>
            </w:r>
          </w:p>
        </w:tc>
      </w:tr>
      <w:tr w:rsidR="009941D8" w:rsidRPr="009941D8" w:rsidTr="009941D8">
        <w:trPr>
          <w:trHeight w:val="135"/>
          <w:jc w:val="center"/>
        </w:trPr>
        <w:tc>
          <w:tcPr>
            <w:tcW w:w="977" w:type="pct"/>
            <w:vMerge/>
            <w:tcBorders>
              <w:top w:val="single" w:sz="8" w:space="0" w:color="auto"/>
              <w:left w:val="single" w:sz="8" w:space="0" w:color="auto"/>
              <w:bottom w:val="single" w:sz="8" w:space="0" w:color="auto"/>
              <w:right w:val="single" w:sz="8" w:space="0" w:color="auto"/>
            </w:tcBorders>
            <w:vAlign w:val="center"/>
            <w:hideMark/>
          </w:tcPr>
          <w:p w:rsidR="009941D8" w:rsidRPr="009941D8" w:rsidRDefault="009941D8" w:rsidP="009941D8">
            <w:pPr>
              <w:spacing w:after="120"/>
              <w:jc w:val="center"/>
              <w:rPr>
                <w:color w:val="010000"/>
              </w:rPr>
            </w:pPr>
          </w:p>
        </w:tc>
        <w:tc>
          <w:tcPr>
            <w:tcW w:w="1308" w:type="pct"/>
            <w:tcBorders>
              <w:top w:val="nil"/>
              <w:left w:val="nil"/>
              <w:bottom w:val="single" w:sz="8" w:space="0" w:color="auto"/>
              <w:right w:val="single" w:sz="8" w:space="0" w:color="auto"/>
            </w:tcBorders>
            <w:tcMar>
              <w:top w:w="0" w:type="dxa"/>
              <w:left w:w="108" w:type="dxa"/>
              <w:bottom w:w="0" w:type="dxa"/>
              <w:right w:w="108" w:type="dxa"/>
            </w:tcMar>
            <w:hideMark/>
          </w:tcPr>
          <w:p w:rsidR="009941D8" w:rsidRPr="009941D8" w:rsidRDefault="009941D8" w:rsidP="009941D8">
            <w:pPr>
              <w:overflowPunct w:val="0"/>
              <w:autoSpaceDE w:val="0"/>
              <w:autoSpaceDN w:val="0"/>
              <w:spacing w:after="120"/>
              <w:jc w:val="center"/>
              <w:rPr>
                <w:color w:val="010000"/>
              </w:rPr>
            </w:pPr>
            <w:r w:rsidRPr="009941D8">
              <w:rPr>
                <w:b/>
                <w:bCs/>
                <w:color w:val="010000"/>
              </w:rPr>
              <w:t>No.su</w:t>
            </w: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9941D8" w:rsidRPr="009941D8" w:rsidRDefault="009941D8" w:rsidP="009941D8">
            <w:pPr>
              <w:overflowPunct w:val="0"/>
              <w:autoSpaceDE w:val="0"/>
              <w:autoSpaceDN w:val="0"/>
              <w:spacing w:after="120"/>
              <w:jc w:val="center"/>
              <w:rPr>
                <w:color w:val="010000"/>
              </w:rPr>
            </w:pPr>
            <w:r w:rsidRPr="009941D8">
              <w:rPr>
                <w:b/>
                <w:bCs/>
                <w:color w:val="010000"/>
              </w:rPr>
              <w:t>Seri-Sıra No</w:t>
            </w: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9941D8" w:rsidRPr="009941D8" w:rsidRDefault="009941D8" w:rsidP="009941D8">
            <w:pPr>
              <w:overflowPunct w:val="0"/>
              <w:autoSpaceDE w:val="0"/>
              <w:autoSpaceDN w:val="0"/>
              <w:spacing w:after="120"/>
              <w:jc w:val="center"/>
              <w:rPr>
                <w:color w:val="010000"/>
              </w:rPr>
            </w:pPr>
            <w:r w:rsidRPr="009941D8">
              <w:rPr>
                <w:b/>
                <w:bCs/>
                <w:color w:val="010000"/>
                <w:szCs w:val="18"/>
              </w:rPr>
              <w:t>Tutarı (YTL)</w:t>
            </w:r>
          </w:p>
        </w:tc>
        <w:tc>
          <w:tcPr>
            <w:tcW w:w="925" w:type="pct"/>
            <w:vMerge/>
            <w:tcBorders>
              <w:top w:val="single" w:sz="8" w:space="0" w:color="auto"/>
              <w:left w:val="nil"/>
              <w:bottom w:val="single" w:sz="8" w:space="0" w:color="auto"/>
              <w:right w:val="single" w:sz="8" w:space="0" w:color="auto"/>
            </w:tcBorders>
            <w:vAlign w:val="center"/>
            <w:hideMark/>
          </w:tcPr>
          <w:p w:rsidR="009941D8" w:rsidRPr="009941D8" w:rsidRDefault="009941D8" w:rsidP="009941D8">
            <w:pPr>
              <w:spacing w:after="120"/>
              <w:jc w:val="center"/>
              <w:rPr>
                <w:color w:val="010000"/>
              </w:rPr>
            </w:pPr>
          </w:p>
        </w:tc>
      </w:tr>
      <w:tr w:rsidR="009941D8" w:rsidRPr="009941D8" w:rsidTr="009941D8">
        <w:trPr>
          <w:jc w:val="center"/>
        </w:trPr>
        <w:tc>
          <w:tcPr>
            <w:tcW w:w="9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941D8" w:rsidRPr="009941D8" w:rsidRDefault="009941D8" w:rsidP="009941D8">
            <w:pPr>
              <w:overflowPunct w:val="0"/>
              <w:autoSpaceDE w:val="0"/>
              <w:autoSpaceDN w:val="0"/>
              <w:spacing w:after="120"/>
              <w:jc w:val="center"/>
              <w:rPr>
                <w:color w:val="010000"/>
              </w:rPr>
            </w:pPr>
            <w:r w:rsidRPr="009941D8">
              <w:rPr>
                <w:color w:val="010000"/>
              </w:rPr>
              <w:t>312-4391920</w:t>
            </w:r>
          </w:p>
        </w:tc>
        <w:tc>
          <w:tcPr>
            <w:tcW w:w="1308" w:type="pct"/>
            <w:tcBorders>
              <w:top w:val="nil"/>
              <w:left w:val="nil"/>
              <w:bottom w:val="single" w:sz="8" w:space="0" w:color="auto"/>
              <w:right w:val="single" w:sz="8" w:space="0" w:color="auto"/>
            </w:tcBorders>
            <w:tcMar>
              <w:top w:w="0" w:type="dxa"/>
              <w:left w:w="108" w:type="dxa"/>
              <w:bottom w:w="0" w:type="dxa"/>
              <w:right w:w="108" w:type="dxa"/>
            </w:tcMar>
            <w:hideMark/>
          </w:tcPr>
          <w:p w:rsidR="009941D8" w:rsidRPr="009941D8" w:rsidRDefault="009941D8" w:rsidP="009941D8">
            <w:pPr>
              <w:overflowPunct w:val="0"/>
              <w:autoSpaceDE w:val="0"/>
              <w:autoSpaceDN w:val="0"/>
              <w:spacing w:after="120"/>
              <w:jc w:val="center"/>
              <w:rPr>
                <w:color w:val="010000"/>
              </w:rPr>
            </w:pPr>
            <w:r w:rsidRPr="009941D8">
              <w:rPr>
                <w:color w:val="010000"/>
              </w:rPr>
              <w:t>2007031436945</w:t>
            </w: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9941D8" w:rsidRPr="009941D8" w:rsidRDefault="009941D8" w:rsidP="009941D8">
            <w:pPr>
              <w:overflowPunct w:val="0"/>
              <w:autoSpaceDE w:val="0"/>
              <w:autoSpaceDN w:val="0"/>
              <w:spacing w:after="120"/>
              <w:jc w:val="center"/>
              <w:rPr>
                <w:color w:val="010000"/>
              </w:rPr>
            </w:pPr>
            <w:proofErr w:type="gramStart"/>
            <w:r w:rsidRPr="009941D8">
              <w:rPr>
                <w:color w:val="010000"/>
              </w:rPr>
              <w:t>J -</w:t>
            </w:r>
            <w:proofErr w:type="gramEnd"/>
            <w:r w:rsidRPr="009941D8">
              <w:rPr>
                <w:color w:val="010000"/>
              </w:rPr>
              <w:t xml:space="preserve"> 809390</w:t>
            </w: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9941D8" w:rsidRPr="009941D8" w:rsidRDefault="009941D8" w:rsidP="009941D8">
            <w:pPr>
              <w:overflowPunct w:val="0"/>
              <w:autoSpaceDE w:val="0"/>
              <w:autoSpaceDN w:val="0"/>
              <w:spacing w:after="120"/>
              <w:jc w:val="center"/>
              <w:rPr>
                <w:color w:val="010000"/>
              </w:rPr>
            </w:pPr>
            <w:r w:rsidRPr="009941D8">
              <w:rPr>
                <w:color w:val="010000"/>
              </w:rPr>
              <w:t>97,50</w:t>
            </w: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rsidR="009941D8" w:rsidRPr="009941D8" w:rsidRDefault="009941D8" w:rsidP="009941D8">
            <w:pPr>
              <w:overflowPunct w:val="0"/>
              <w:autoSpaceDE w:val="0"/>
              <w:autoSpaceDN w:val="0"/>
              <w:spacing w:after="120"/>
              <w:jc w:val="center"/>
              <w:rPr>
                <w:color w:val="010000"/>
              </w:rPr>
            </w:pPr>
            <w:r w:rsidRPr="009941D8">
              <w:rPr>
                <w:color w:val="010000"/>
              </w:rPr>
              <w:t>25</w:t>
            </w:r>
          </w:p>
        </w:tc>
      </w:tr>
      <w:tr w:rsidR="009941D8" w:rsidRPr="009941D8" w:rsidTr="009941D8">
        <w:trPr>
          <w:jc w:val="center"/>
        </w:trPr>
        <w:tc>
          <w:tcPr>
            <w:tcW w:w="9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941D8" w:rsidRPr="009941D8" w:rsidRDefault="009941D8" w:rsidP="009941D8">
            <w:pPr>
              <w:overflowPunct w:val="0"/>
              <w:autoSpaceDE w:val="0"/>
              <w:autoSpaceDN w:val="0"/>
              <w:spacing w:after="120"/>
              <w:jc w:val="center"/>
              <w:rPr>
                <w:color w:val="010000"/>
              </w:rPr>
            </w:pPr>
            <w:r w:rsidRPr="009941D8">
              <w:rPr>
                <w:color w:val="010000"/>
              </w:rPr>
              <w:t>'</w:t>
            </w:r>
          </w:p>
        </w:tc>
        <w:tc>
          <w:tcPr>
            <w:tcW w:w="1308" w:type="pct"/>
            <w:tcBorders>
              <w:top w:val="nil"/>
              <w:left w:val="nil"/>
              <w:bottom w:val="single" w:sz="8" w:space="0" w:color="auto"/>
              <w:right w:val="single" w:sz="8" w:space="0" w:color="auto"/>
            </w:tcBorders>
            <w:tcMar>
              <w:top w:w="0" w:type="dxa"/>
              <w:left w:w="108" w:type="dxa"/>
              <w:bottom w:w="0" w:type="dxa"/>
              <w:right w:w="108" w:type="dxa"/>
            </w:tcMar>
            <w:hideMark/>
          </w:tcPr>
          <w:p w:rsidR="009941D8" w:rsidRPr="009941D8" w:rsidRDefault="009941D8" w:rsidP="009941D8">
            <w:pPr>
              <w:overflowPunct w:val="0"/>
              <w:autoSpaceDE w:val="0"/>
              <w:autoSpaceDN w:val="0"/>
              <w:spacing w:after="120"/>
              <w:jc w:val="center"/>
              <w:rPr>
                <w:color w:val="010000"/>
              </w:rPr>
            </w:pPr>
            <w:r w:rsidRPr="009941D8">
              <w:rPr>
                <w:color w:val="010000"/>
              </w:rPr>
              <w:t>'</w:t>
            </w: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9941D8" w:rsidRPr="009941D8" w:rsidRDefault="009941D8" w:rsidP="009941D8">
            <w:pPr>
              <w:overflowPunct w:val="0"/>
              <w:autoSpaceDE w:val="0"/>
              <w:autoSpaceDN w:val="0"/>
              <w:spacing w:after="120"/>
              <w:jc w:val="center"/>
              <w:rPr>
                <w:color w:val="010000"/>
              </w:rPr>
            </w:pPr>
            <w:r w:rsidRPr="009941D8">
              <w:rPr>
                <w:color w:val="010000"/>
              </w:rPr>
              <w:t>'</w:t>
            </w: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9941D8" w:rsidRPr="009941D8" w:rsidRDefault="009941D8" w:rsidP="009941D8">
            <w:pPr>
              <w:overflowPunct w:val="0"/>
              <w:autoSpaceDE w:val="0"/>
              <w:autoSpaceDN w:val="0"/>
              <w:spacing w:after="120"/>
              <w:jc w:val="center"/>
              <w:rPr>
                <w:color w:val="010000"/>
              </w:rPr>
            </w:pPr>
            <w:r w:rsidRPr="009941D8">
              <w:rPr>
                <w:color w:val="010000"/>
              </w:rPr>
              <w:t>'</w:t>
            </w: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rsidR="009941D8" w:rsidRPr="009941D8" w:rsidRDefault="009941D8" w:rsidP="009941D8">
            <w:pPr>
              <w:overflowPunct w:val="0"/>
              <w:autoSpaceDE w:val="0"/>
              <w:autoSpaceDN w:val="0"/>
              <w:spacing w:after="120"/>
              <w:jc w:val="center"/>
              <w:rPr>
                <w:color w:val="010000"/>
              </w:rPr>
            </w:pPr>
            <w:r w:rsidRPr="009941D8">
              <w:rPr>
                <w:color w:val="010000"/>
              </w:rPr>
              <w:t>32</w:t>
            </w:r>
          </w:p>
        </w:tc>
      </w:tr>
      <w:tr w:rsidR="009941D8" w:rsidRPr="009941D8" w:rsidTr="009941D8">
        <w:trPr>
          <w:jc w:val="center"/>
        </w:trPr>
        <w:tc>
          <w:tcPr>
            <w:tcW w:w="9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941D8" w:rsidRPr="009941D8" w:rsidRDefault="009941D8" w:rsidP="009941D8">
            <w:pPr>
              <w:overflowPunct w:val="0"/>
              <w:autoSpaceDE w:val="0"/>
              <w:autoSpaceDN w:val="0"/>
              <w:spacing w:after="120"/>
              <w:jc w:val="center"/>
              <w:rPr>
                <w:color w:val="010000"/>
              </w:rPr>
            </w:pPr>
            <w:r w:rsidRPr="009941D8">
              <w:rPr>
                <w:color w:val="010000"/>
              </w:rPr>
              <w:t>312-4391928</w:t>
            </w:r>
          </w:p>
        </w:tc>
        <w:tc>
          <w:tcPr>
            <w:tcW w:w="1308" w:type="pct"/>
            <w:tcBorders>
              <w:top w:val="nil"/>
              <w:left w:val="nil"/>
              <w:bottom w:val="single" w:sz="8" w:space="0" w:color="auto"/>
              <w:right w:val="single" w:sz="8" w:space="0" w:color="auto"/>
            </w:tcBorders>
            <w:tcMar>
              <w:top w:w="0" w:type="dxa"/>
              <w:left w:w="108" w:type="dxa"/>
              <w:bottom w:w="0" w:type="dxa"/>
              <w:right w:w="108" w:type="dxa"/>
            </w:tcMar>
            <w:hideMark/>
          </w:tcPr>
          <w:p w:rsidR="009941D8" w:rsidRPr="009941D8" w:rsidRDefault="009941D8" w:rsidP="009941D8">
            <w:pPr>
              <w:overflowPunct w:val="0"/>
              <w:autoSpaceDE w:val="0"/>
              <w:autoSpaceDN w:val="0"/>
              <w:spacing w:after="120"/>
              <w:jc w:val="center"/>
              <w:rPr>
                <w:color w:val="010000"/>
              </w:rPr>
            </w:pPr>
            <w:r w:rsidRPr="009941D8">
              <w:rPr>
                <w:color w:val="010000"/>
              </w:rPr>
              <w:t>2007031436950</w:t>
            </w: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9941D8" w:rsidRPr="009941D8" w:rsidRDefault="009941D8" w:rsidP="009941D8">
            <w:pPr>
              <w:overflowPunct w:val="0"/>
              <w:autoSpaceDE w:val="0"/>
              <w:autoSpaceDN w:val="0"/>
              <w:spacing w:after="120"/>
              <w:jc w:val="center"/>
              <w:rPr>
                <w:color w:val="010000"/>
              </w:rPr>
            </w:pPr>
            <w:proofErr w:type="gramStart"/>
            <w:r w:rsidRPr="009941D8">
              <w:rPr>
                <w:color w:val="010000"/>
              </w:rPr>
              <w:t>K -</w:t>
            </w:r>
            <w:proofErr w:type="gramEnd"/>
            <w:r w:rsidRPr="009941D8">
              <w:rPr>
                <w:color w:val="010000"/>
              </w:rPr>
              <w:t xml:space="preserve"> 240462</w:t>
            </w: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9941D8" w:rsidRPr="009941D8" w:rsidRDefault="009941D8" w:rsidP="009941D8">
            <w:pPr>
              <w:overflowPunct w:val="0"/>
              <w:autoSpaceDE w:val="0"/>
              <w:autoSpaceDN w:val="0"/>
              <w:spacing w:after="120"/>
              <w:jc w:val="center"/>
              <w:rPr>
                <w:color w:val="010000"/>
              </w:rPr>
            </w:pPr>
            <w:r w:rsidRPr="009941D8">
              <w:rPr>
                <w:color w:val="010000"/>
              </w:rPr>
              <w:t>99,25</w:t>
            </w: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rsidR="009941D8" w:rsidRPr="009941D8" w:rsidRDefault="009941D8" w:rsidP="009941D8">
            <w:pPr>
              <w:overflowPunct w:val="0"/>
              <w:autoSpaceDE w:val="0"/>
              <w:autoSpaceDN w:val="0"/>
              <w:spacing w:after="120"/>
              <w:jc w:val="center"/>
              <w:rPr>
                <w:color w:val="010000"/>
              </w:rPr>
            </w:pPr>
            <w:r w:rsidRPr="009941D8">
              <w:rPr>
                <w:color w:val="010000"/>
              </w:rPr>
              <w:t>26</w:t>
            </w:r>
          </w:p>
        </w:tc>
      </w:tr>
      <w:tr w:rsidR="009941D8" w:rsidRPr="009941D8" w:rsidTr="009941D8">
        <w:trPr>
          <w:jc w:val="center"/>
        </w:trPr>
        <w:tc>
          <w:tcPr>
            <w:tcW w:w="9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941D8" w:rsidRPr="009941D8" w:rsidRDefault="009941D8" w:rsidP="009941D8">
            <w:pPr>
              <w:overflowPunct w:val="0"/>
              <w:autoSpaceDE w:val="0"/>
              <w:autoSpaceDN w:val="0"/>
              <w:spacing w:after="120"/>
              <w:jc w:val="center"/>
              <w:rPr>
                <w:color w:val="010000"/>
              </w:rPr>
            </w:pPr>
            <w:r w:rsidRPr="009941D8">
              <w:rPr>
                <w:color w:val="010000"/>
              </w:rPr>
              <w:t>'</w:t>
            </w:r>
          </w:p>
        </w:tc>
        <w:tc>
          <w:tcPr>
            <w:tcW w:w="1308" w:type="pct"/>
            <w:tcBorders>
              <w:top w:val="nil"/>
              <w:left w:val="nil"/>
              <w:bottom w:val="single" w:sz="8" w:space="0" w:color="auto"/>
              <w:right w:val="single" w:sz="8" w:space="0" w:color="auto"/>
            </w:tcBorders>
            <w:tcMar>
              <w:top w:w="0" w:type="dxa"/>
              <w:left w:w="108" w:type="dxa"/>
              <w:bottom w:w="0" w:type="dxa"/>
              <w:right w:w="108" w:type="dxa"/>
            </w:tcMar>
            <w:hideMark/>
          </w:tcPr>
          <w:p w:rsidR="009941D8" w:rsidRPr="009941D8" w:rsidRDefault="009941D8" w:rsidP="009941D8">
            <w:pPr>
              <w:overflowPunct w:val="0"/>
              <w:autoSpaceDE w:val="0"/>
              <w:autoSpaceDN w:val="0"/>
              <w:spacing w:after="120"/>
              <w:jc w:val="center"/>
              <w:rPr>
                <w:color w:val="010000"/>
              </w:rPr>
            </w:pPr>
            <w:r w:rsidRPr="009941D8">
              <w:rPr>
                <w:color w:val="010000"/>
              </w:rPr>
              <w:t>'</w:t>
            </w: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9941D8" w:rsidRPr="009941D8" w:rsidRDefault="009941D8" w:rsidP="009941D8">
            <w:pPr>
              <w:overflowPunct w:val="0"/>
              <w:autoSpaceDE w:val="0"/>
              <w:autoSpaceDN w:val="0"/>
              <w:spacing w:after="120"/>
              <w:jc w:val="center"/>
              <w:rPr>
                <w:color w:val="010000"/>
              </w:rPr>
            </w:pPr>
            <w:r w:rsidRPr="009941D8">
              <w:rPr>
                <w:color w:val="010000"/>
              </w:rPr>
              <w:t>'</w:t>
            </w: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9941D8" w:rsidRPr="009941D8" w:rsidRDefault="009941D8" w:rsidP="009941D8">
            <w:pPr>
              <w:overflowPunct w:val="0"/>
              <w:autoSpaceDE w:val="0"/>
              <w:autoSpaceDN w:val="0"/>
              <w:spacing w:after="120"/>
              <w:jc w:val="center"/>
              <w:rPr>
                <w:color w:val="010000"/>
              </w:rPr>
            </w:pPr>
            <w:r w:rsidRPr="009941D8">
              <w:rPr>
                <w:color w:val="010000"/>
              </w:rPr>
              <w:t>'</w:t>
            </w: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rsidR="009941D8" w:rsidRPr="009941D8" w:rsidRDefault="009941D8" w:rsidP="009941D8">
            <w:pPr>
              <w:overflowPunct w:val="0"/>
              <w:autoSpaceDE w:val="0"/>
              <w:autoSpaceDN w:val="0"/>
              <w:spacing w:after="120"/>
              <w:jc w:val="center"/>
              <w:rPr>
                <w:color w:val="010000"/>
              </w:rPr>
            </w:pPr>
            <w:r w:rsidRPr="009941D8">
              <w:rPr>
                <w:color w:val="010000"/>
              </w:rPr>
              <w:t>35</w:t>
            </w:r>
          </w:p>
        </w:tc>
      </w:tr>
    </w:tbl>
    <w:p w:rsidR="009941D8" w:rsidRPr="009941D8" w:rsidRDefault="009941D8" w:rsidP="009941D8">
      <w:pPr>
        <w:spacing w:after="200"/>
        <w:ind w:left="283" w:right="283" w:firstLine="709"/>
        <w:jc w:val="both"/>
        <w:rPr>
          <w:color w:val="010000"/>
        </w:rPr>
      </w:pPr>
      <w:r w:rsidRPr="009941D8">
        <w:rPr>
          <w:color w:val="010000"/>
          <w:szCs w:val="26"/>
        </w:rPr>
        <w:t xml:space="preserve">Parti mali işler başkanı imzalı 10.6.2009 tarihli yazı </w:t>
      </w:r>
      <w:proofErr w:type="gramStart"/>
      <w:r w:rsidRPr="009941D8">
        <w:rPr>
          <w:color w:val="010000"/>
          <w:szCs w:val="26"/>
        </w:rPr>
        <w:t>da,</w:t>
      </w:r>
      <w:proofErr w:type="gramEnd"/>
      <w:r w:rsidRPr="009941D8">
        <w:rPr>
          <w:color w:val="010000"/>
          <w:szCs w:val="26"/>
        </w:rPr>
        <w:t xml:space="preserve"> yeni kurulan bir parti olarak sehven mükerrer gider kaydında bulunulduğu, gereğinin yerine getirileceği açıklanmıştır. </w:t>
      </w:r>
    </w:p>
    <w:p w:rsidR="009941D8" w:rsidRPr="009941D8" w:rsidRDefault="009941D8" w:rsidP="009941D8">
      <w:pPr>
        <w:pStyle w:val="bodytext2"/>
        <w:spacing w:before="0" w:beforeAutospacing="0" w:after="200" w:afterAutospacing="0" w:line="240" w:lineRule="auto"/>
        <w:ind w:left="283" w:right="283" w:firstLine="709"/>
        <w:jc w:val="both"/>
        <w:rPr>
          <w:color w:val="010000"/>
        </w:rPr>
      </w:pPr>
      <w:r w:rsidRPr="009941D8">
        <w:rPr>
          <w:color w:val="010000"/>
          <w:szCs w:val="26"/>
        </w:rPr>
        <w:t xml:space="preserve">2820 sayılı Yasa'nın 60. maddesinde Parti adına elde edilen gelirlerin ve yapılan giderlerin ne gibi işlere ve yerlere harcandığı ilgili defterlere sıra ile ve belgeleri de belirtilerek geçirileceği, 70. maddesinde de giderlerin yapılmasındaki usuller belirtilmiştir. </w:t>
      </w:r>
    </w:p>
    <w:p w:rsidR="009941D8" w:rsidRPr="009941D8" w:rsidRDefault="009941D8" w:rsidP="009941D8">
      <w:pPr>
        <w:spacing w:after="200"/>
        <w:ind w:left="283" w:right="283" w:firstLine="709"/>
        <w:jc w:val="both"/>
        <w:rPr>
          <w:color w:val="010000"/>
        </w:rPr>
      </w:pPr>
      <w:r w:rsidRPr="009941D8">
        <w:rPr>
          <w:color w:val="010000"/>
          <w:szCs w:val="26"/>
        </w:rPr>
        <w:t>Buna göre, parti gideri olarak deftere gider kaydı yapılarak kasadan çıkış gösterilen fatura tutarının tekrar gider kaydı yapılarak kasadan ikinci kez çıkış yapılması, aynı fatura için mükerrer ödemeye yol açacağından, 2820 sayılı Yasa'ya aykırı bulunan durumun kabulü mümkün görülememektedir.</w:t>
      </w:r>
    </w:p>
    <w:p w:rsidR="009941D8" w:rsidRPr="009941D8" w:rsidRDefault="009941D8" w:rsidP="009941D8">
      <w:pPr>
        <w:spacing w:after="200"/>
        <w:ind w:left="283" w:right="283" w:firstLine="709"/>
        <w:jc w:val="both"/>
        <w:rPr>
          <w:color w:val="010000"/>
        </w:rPr>
      </w:pPr>
      <w:r w:rsidRPr="009941D8">
        <w:rPr>
          <w:color w:val="010000"/>
          <w:szCs w:val="26"/>
        </w:rPr>
        <w:t xml:space="preserve">Bu nedenlerle, ayrıntısı yukarıda gösterilen ve sehven yapıldığı anlaşılan (97,50 + 99,25=) 196,75 YTL tutarındaki mükerrer gider kayıtlarının 2820 sayılı Yasa'nın öngördüğü anlamda belgeye dayandırılmış olduğunun kabulü mümkün görülmediğinden, 2820 sayılı Yasa'ya aykırı yapılan belgesiz gider niteliğindeki (97,50 + 99,25=) 196,75 YTL. </w:t>
      </w:r>
      <w:proofErr w:type="gramStart"/>
      <w:r w:rsidRPr="009941D8">
        <w:rPr>
          <w:color w:val="010000"/>
          <w:szCs w:val="26"/>
        </w:rPr>
        <w:t>tutarındaki</w:t>
      </w:r>
      <w:proofErr w:type="gramEnd"/>
      <w:r w:rsidRPr="009941D8">
        <w:rPr>
          <w:color w:val="010000"/>
          <w:szCs w:val="26"/>
        </w:rPr>
        <w:t xml:space="preserve"> mükerrer ödemenin, aynı Yasa'nın 75. maddesi uyarınca Hazine'ye </w:t>
      </w:r>
      <w:proofErr w:type="spellStart"/>
      <w:r w:rsidRPr="009941D8">
        <w:rPr>
          <w:color w:val="010000"/>
          <w:szCs w:val="26"/>
        </w:rPr>
        <w:t>irad</w:t>
      </w:r>
      <w:proofErr w:type="spellEnd"/>
      <w:r w:rsidRPr="009941D8">
        <w:rPr>
          <w:color w:val="010000"/>
          <w:szCs w:val="26"/>
        </w:rPr>
        <w:t xml:space="preserve"> kaydedilmesi gerektiği sonucuna varılmıştır. </w:t>
      </w:r>
    </w:p>
    <w:p w:rsidR="009941D8" w:rsidRPr="009941D8" w:rsidRDefault="009941D8" w:rsidP="009941D8">
      <w:pPr>
        <w:spacing w:after="200"/>
        <w:ind w:left="283" w:right="283" w:firstLine="709"/>
        <w:jc w:val="both"/>
        <w:rPr>
          <w:color w:val="010000"/>
        </w:rPr>
      </w:pPr>
      <w:r w:rsidRPr="009941D8">
        <w:rPr>
          <w:b/>
          <w:bCs/>
          <w:color w:val="010000"/>
          <w:szCs w:val="26"/>
        </w:rPr>
        <w:t xml:space="preserve">2- </w:t>
      </w:r>
      <w:r w:rsidRPr="009941D8">
        <w:rPr>
          <w:color w:val="010000"/>
          <w:szCs w:val="26"/>
        </w:rPr>
        <w:t>2007 Nisan ayı kira bedeli tutarı 6.250.-YTL.nın Parti defter ve kayıtlarına işlenmediği, bu nedenle 2007 yılı giderleri toplamına dahil olmadığı anlaşılmıştır.</w:t>
      </w:r>
    </w:p>
    <w:p w:rsidR="009941D8" w:rsidRPr="009941D8" w:rsidRDefault="009941D8" w:rsidP="009941D8">
      <w:pPr>
        <w:spacing w:after="200"/>
        <w:ind w:left="283" w:right="283" w:firstLine="709"/>
        <w:jc w:val="both"/>
        <w:rPr>
          <w:color w:val="010000"/>
        </w:rPr>
      </w:pPr>
      <w:r w:rsidRPr="009941D8">
        <w:rPr>
          <w:color w:val="010000"/>
          <w:szCs w:val="26"/>
        </w:rPr>
        <w:t xml:space="preserve">Parti mali işler başkanı imzalı 10.6.2009 tarihli yazı </w:t>
      </w:r>
      <w:proofErr w:type="gramStart"/>
      <w:r w:rsidRPr="009941D8">
        <w:rPr>
          <w:color w:val="010000"/>
          <w:szCs w:val="26"/>
        </w:rPr>
        <w:t>da,</w:t>
      </w:r>
      <w:proofErr w:type="gramEnd"/>
      <w:r w:rsidRPr="009941D8">
        <w:rPr>
          <w:color w:val="010000"/>
          <w:szCs w:val="26"/>
        </w:rPr>
        <w:t xml:space="preserve"> ödemenin deftere işlenmesinin sehven unutulduğu açıklanmıştır.</w:t>
      </w:r>
    </w:p>
    <w:p w:rsidR="009941D8" w:rsidRPr="009941D8" w:rsidRDefault="009941D8" w:rsidP="009941D8">
      <w:pPr>
        <w:pStyle w:val="bodytext2"/>
        <w:spacing w:before="0" w:beforeAutospacing="0" w:after="200" w:afterAutospacing="0" w:line="240" w:lineRule="auto"/>
        <w:ind w:left="283" w:right="283" w:firstLine="709"/>
        <w:jc w:val="both"/>
        <w:rPr>
          <w:color w:val="010000"/>
        </w:rPr>
      </w:pPr>
      <w:r w:rsidRPr="009941D8">
        <w:rPr>
          <w:color w:val="010000"/>
          <w:szCs w:val="26"/>
        </w:rPr>
        <w:lastRenderedPageBreak/>
        <w:t xml:space="preserve">2820 sayılı Yasa'nın 60. maddesinde Parti adına elde edilen gelirlerin alındığı ve yapılan giderlerin ne gibi işlere ve yerlere harcandığının ilgili defterlere sıra ile ve belgeleri de belirtilerek geçirileceği belirtilmiştir. </w:t>
      </w:r>
    </w:p>
    <w:p w:rsidR="009941D8" w:rsidRPr="009941D8" w:rsidRDefault="009941D8" w:rsidP="009941D8">
      <w:pPr>
        <w:pStyle w:val="msobodytextindent"/>
        <w:spacing w:before="0" w:beforeAutospacing="0" w:after="200" w:afterAutospacing="0" w:line="240" w:lineRule="auto"/>
        <w:ind w:left="283" w:right="283" w:firstLine="709"/>
        <w:jc w:val="both"/>
        <w:rPr>
          <w:color w:val="010000"/>
        </w:rPr>
      </w:pPr>
      <w:r w:rsidRPr="009941D8">
        <w:rPr>
          <w:color w:val="010000"/>
          <w:szCs w:val="26"/>
        </w:rPr>
        <w:t>Bu nedenlerle, Parti genel merkezinin 2007 yılı Nisan ayı kirası olan 6.250.-YTL gider miktarının Parti defter ve kayıtlarına geçirilmemesi dolayısıyla sehven yapıldığı anlaşılan noksan kira kaydının düzeltilmesi ve bu işlemin düzeltme kaydının yapıldığı yıl hesabı içinde izlenmesi gerektiği sonucuna varılmıştır.</w:t>
      </w:r>
    </w:p>
    <w:p w:rsidR="009941D8" w:rsidRPr="009941D8" w:rsidRDefault="009941D8" w:rsidP="009941D8">
      <w:pPr>
        <w:spacing w:after="200"/>
        <w:ind w:left="283" w:right="283" w:firstLine="709"/>
        <w:jc w:val="both"/>
        <w:rPr>
          <w:color w:val="010000"/>
        </w:rPr>
      </w:pPr>
      <w:r w:rsidRPr="009941D8">
        <w:rPr>
          <w:b/>
          <w:bCs/>
          <w:color w:val="010000"/>
          <w:szCs w:val="26"/>
        </w:rPr>
        <w:t>2- İl ve İlçe Örgütleri Giderleri</w:t>
      </w:r>
    </w:p>
    <w:p w:rsidR="009941D8" w:rsidRPr="009941D8" w:rsidRDefault="009941D8" w:rsidP="009941D8">
      <w:pPr>
        <w:spacing w:after="200"/>
        <w:ind w:left="283" w:right="283" w:firstLine="709"/>
        <w:jc w:val="both"/>
        <w:rPr>
          <w:color w:val="010000"/>
        </w:rPr>
      </w:pPr>
      <w:r w:rsidRPr="009941D8">
        <w:rPr>
          <w:color w:val="010000"/>
          <w:szCs w:val="26"/>
        </w:rPr>
        <w:t xml:space="preserve">Parti'nin İl ve ilçe örgütleri giderleri 977.-YTL olarak gösterilmiştir. Bunun tamamı genel yönetim giderleridir. </w:t>
      </w:r>
    </w:p>
    <w:p w:rsidR="009941D8" w:rsidRPr="009941D8" w:rsidRDefault="009941D8" w:rsidP="009941D8">
      <w:pPr>
        <w:spacing w:after="200"/>
        <w:ind w:left="283" w:right="283" w:firstLine="709"/>
        <w:jc w:val="both"/>
        <w:rPr>
          <w:color w:val="010000"/>
        </w:rPr>
      </w:pPr>
      <w:r w:rsidRPr="009941D8">
        <w:rPr>
          <w:color w:val="010000"/>
          <w:szCs w:val="26"/>
        </w:rPr>
        <w:t xml:space="preserve">İl ve ilçe örgütleri </w:t>
      </w:r>
      <w:proofErr w:type="spellStart"/>
      <w:r w:rsidRPr="009941D8">
        <w:rPr>
          <w:color w:val="010000"/>
          <w:szCs w:val="26"/>
        </w:rPr>
        <w:t>kesinhesap</w:t>
      </w:r>
      <w:proofErr w:type="spellEnd"/>
      <w:r w:rsidRPr="009941D8">
        <w:rPr>
          <w:color w:val="010000"/>
          <w:szCs w:val="26"/>
        </w:rPr>
        <w:t xml:space="preserve"> çizelgelerinin gider bölümü üzerinde yapılan incelemede, giderlerin Merkez Karar ve Yönetim Kurulu kararıyla doğruluğunun onaylandığı görülerek, 2820 sayılı Yasa'ya uygun olduğu sonucuna varılmıştır.</w:t>
      </w:r>
    </w:p>
    <w:p w:rsidR="009941D8" w:rsidRPr="009941D8" w:rsidRDefault="009941D8" w:rsidP="009941D8">
      <w:pPr>
        <w:spacing w:after="200"/>
        <w:ind w:left="283" w:right="283" w:firstLine="709"/>
        <w:jc w:val="both"/>
        <w:rPr>
          <w:color w:val="010000"/>
        </w:rPr>
      </w:pPr>
      <w:r w:rsidRPr="009941D8">
        <w:rPr>
          <w:b/>
          <w:bCs/>
          <w:color w:val="010000"/>
          <w:szCs w:val="26"/>
        </w:rPr>
        <w:t>D- Parti Malları</w:t>
      </w:r>
    </w:p>
    <w:p w:rsidR="009941D8" w:rsidRPr="009941D8" w:rsidRDefault="009941D8" w:rsidP="009941D8">
      <w:pPr>
        <w:spacing w:after="200"/>
        <w:ind w:left="283" w:right="283" w:firstLine="709"/>
        <w:jc w:val="both"/>
        <w:rPr>
          <w:color w:val="010000"/>
        </w:rPr>
      </w:pPr>
      <w:r w:rsidRPr="009941D8">
        <w:rPr>
          <w:color w:val="010000"/>
          <w:szCs w:val="26"/>
        </w:rPr>
        <w:t xml:space="preserve">Parti'nin </w:t>
      </w:r>
      <w:proofErr w:type="spellStart"/>
      <w:r w:rsidRPr="009941D8">
        <w:rPr>
          <w:color w:val="010000"/>
          <w:szCs w:val="26"/>
        </w:rPr>
        <w:t>kesinhesabı</w:t>
      </w:r>
      <w:proofErr w:type="spellEnd"/>
      <w:r w:rsidRPr="009941D8">
        <w:rPr>
          <w:color w:val="010000"/>
          <w:szCs w:val="26"/>
        </w:rPr>
        <w:t xml:space="preserve">, defter ve belgeleri üzerinde yapılan incelemede, Parti Genel Merkezi'nin 2007 yılında </w:t>
      </w:r>
      <w:proofErr w:type="spellStart"/>
      <w:r w:rsidRPr="009941D8">
        <w:rPr>
          <w:color w:val="010000"/>
          <w:szCs w:val="26"/>
        </w:rPr>
        <w:t>satınalma</w:t>
      </w:r>
      <w:proofErr w:type="spellEnd"/>
      <w:r w:rsidRPr="009941D8">
        <w:rPr>
          <w:color w:val="010000"/>
          <w:szCs w:val="26"/>
        </w:rPr>
        <w:t xml:space="preserve"> yoluyla 1 adet Faks cihazı ile 12m.² halı ediniminin olduğu, bunun dışında taşınmaz ve değeri yüz </w:t>
      </w:r>
      <w:proofErr w:type="spellStart"/>
      <w:r w:rsidRPr="009941D8">
        <w:rPr>
          <w:color w:val="010000"/>
          <w:szCs w:val="26"/>
        </w:rPr>
        <w:t>YTL.nı</w:t>
      </w:r>
      <w:proofErr w:type="spellEnd"/>
      <w:r w:rsidRPr="009941D8">
        <w:rPr>
          <w:color w:val="010000"/>
          <w:szCs w:val="26"/>
        </w:rPr>
        <w:t xml:space="preserve"> aşan taşınır mal, menkul kıymet ve hak ediniminin bulunmadığı anlaşılmıştır.</w:t>
      </w:r>
    </w:p>
    <w:tbl>
      <w:tblPr>
        <w:tblW w:w="5000" w:type="pct"/>
        <w:jc w:val="center"/>
        <w:tblCellMar>
          <w:left w:w="0" w:type="dxa"/>
          <w:right w:w="0" w:type="dxa"/>
        </w:tblCellMar>
        <w:tblLook w:val="04A0" w:firstRow="1" w:lastRow="0" w:firstColumn="1" w:lastColumn="0" w:noHBand="0" w:noVBand="1"/>
      </w:tblPr>
      <w:tblGrid>
        <w:gridCol w:w="1007"/>
        <w:gridCol w:w="962"/>
        <w:gridCol w:w="1196"/>
        <w:gridCol w:w="1127"/>
        <w:gridCol w:w="1063"/>
        <w:gridCol w:w="1108"/>
        <w:gridCol w:w="1030"/>
        <w:gridCol w:w="1196"/>
        <w:gridCol w:w="1071"/>
      </w:tblGrid>
      <w:tr w:rsidR="009941D8" w:rsidRPr="009941D8" w:rsidTr="009941D8">
        <w:trPr>
          <w:trHeight w:val="233"/>
          <w:jc w:val="center"/>
        </w:trPr>
        <w:tc>
          <w:tcPr>
            <w:tcW w:w="525" w:type="pct"/>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9941D8" w:rsidRPr="009941D8" w:rsidRDefault="009941D8" w:rsidP="009941D8">
            <w:pPr>
              <w:overflowPunct w:val="0"/>
              <w:autoSpaceDE w:val="0"/>
              <w:autoSpaceDN w:val="0"/>
              <w:spacing w:after="120"/>
              <w:jc w:val="center"/>
              <w:rPr>
                <w:color w:val="010000"/>
              </w:rPr>
            </w:pPr>
            <w:r w:rsidRPr="009941D8">
              <w:rPr>
                <w:b/>
                <w:bCs/>
                <w:color w:val="010000"/>
              </w:rPr>
              <w:t>Malın cinsi ve vasfı</w:t>
            </w:r>
          </w:p>
        </w:tc>
        <w:tc>
          <w:tcPr>
            <w:tcW w:w="502" w:type="pct"/>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941D8" w:rsidRPr="009941D8" w:rsidRDefault="009941D8" w:rsidP="009941D8">
            <w:pPr>
              <w:pStyle w:val="Balk4"/>
              <w:keepNext w:val="0"/>
              <w:keepLines w:val="0"/>
              <w:spacing w:before="0" w:after="120" w:line="240" w:lineRule="auto"/>
              <w:jc w:val="center"/>
              <w:rPr>
                <w:rFonts w:ascii="Times New Roman" w:eastAsia="Times New Roman" w:hAnsi="Times New Roman" w:cs="Times New Roman"/>
                <w:color w:val="010000"/>
              </w:rPr>
            </w:pPr>
            <w:r w:rsidRPr="009941D8">
              <w:rPr>
                <w:rFonts w:ascii="Times New Roman" w:eastAsia="Times New Roman" w:hAnsi="Times New Roman" w:cs="Times New Roman"/>
                <w:color w:val="010000"/>
                <w:szCs w:val="20"/>
              </w:rPr>
              <w:t>Adeti / m²</w:t>
            </w:r>
          </w:p>
        </w:tc>
        <w:tc>
          <w:tcPr>
            <w:tcW w:w="622" w:type="pct"/>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941D8" w:rsidRPr="009941D8" w:rsidRDefault="009941D8" w:rsidP="009941D8">
            <w:pPr>
              <w:overflowPunct w:val="0"/>
              <w:autoSpaceDE w:val="0"/>
              <w:autoSpaceDN w:val="0"/>
              <w:spacing w:after="120"/>
              <w:jc w:val="center"/>
              <w:rPr>
                <w:color w:val="010000"/>
              </w:rPr>
            </w:pPr>
            <w:r w:rsidRPr="009941D8">
              <w:rPr>
                <w:b/>
                <w:bCs/>
                <w:color w:val="010000"/>
              </w:rPr>
              <w:t>Edinim şekli</w:t>
            </w:r>
          </w:p>
        </w:tc>
        <w:tc>
          <w:tcPr>
            <w:tcW w:w="502" w:type="pct"/>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941D8" w:rsidRPr="009941D8" w:rsidRDefault="009941D8" w:rsidP="009941D8">
            <w:pPr>
              <w:overflowPunct w:val="0"/>
              <w:autoSpaceDE w:val="0"/>
              <w:autoSpaceDN w:val="0"/>
              <w:spacing w:after="120"/>
              <w:jc w:val="center"/>
              <w:rPr>
                <w:color w:val="010000"/>
              </w:rPr>
            </w:pPr>
            <w:r w:rsidRPr="009941D8">
              <w:rPr>
                <w:b/>
                <w:bCs/>
                <w:color w:val="010000"/>
              </w:rPr>
              <w:t>Satın Alınan Firma</w:t>
            </w:r>
          </w:p>
        </w:tc>
        <w:tc>
          <w:tcPr>
            <w:tcW w:w="554" w:type="pct"/>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941D8" w:rsidRPr="009941D8" w:rsidRDefault="009941D8" w:rsidP="009941D8">
            <w:pPr>
              <w:overflowPunct w:val="0"/>
              <w:autoSpaceDE w:val="0"/>
              <w:autoSpaceDN w:val="0"/>
              <w:spacing w:after="120"/>
              <w:jc w:val="center"/>
              <w:rPr>
                <w:color w:val="010000"/>
              </w:rPr>
            </w:pPr>
            <w:r w:rsidRPr="009941D8">
              <w:rPr>
                <w:b/>
                <w:bCs/>
                <w:color w:val="010000"/>
              </w:rPr>
              <w:t xml:space="preserve">Fatura </w:t>
            </w:r>
            <w:proofErr w:type="spellStart"/>
            <w:r w:rsidRPr="009941D8">
              <w:rPr>
                <w:b/>
                <w:bCs/>
                <w:color w:val="010000"/>
              </w:rPr>
              <w:t>no</w:t>
            </w:r>
            <w:proofErr w:type="spellEnd"/>
          </w:p>
        </w:tc>
        <w:tc>
          <w:tcPr>
            <w:tcW w:w="1114" w:type="pct"/>
            <w:gridSpan w:val="2"/>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941D8" w:rsidRPr="009941D8" w:rsidRDefault="009941D8" w:rsidP="009941D8">
            <w:pPr>
              <w:overflowPunct w:val="0"/>
              <w:autoSpaceDE w:val="0"/>
              <w:autoSpaceDN w:val="0"/>
              <w:spacing w:after="120"/>
              <w:jc w:val="center"/>
              <w:rPr>
                <w:color w:val="010000"/>
              </w:rPr>
            </w:pPr>
            <w:r w:rsidRPr="009941D8">
              <w:rPr>
                <w:b/>
                <w:bCs/>
                <w:color w:val="010000"/>
              </w:rPr>
              <w:t>Değeri (YTL)</w:t>
            </w:r>
          </w:p>
        </w:tc>
        <w:tc>
          <w:tcPr>
            <w:tcW w:w="622" w:type="pct"/>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941D8" w:rsidRPr="009941D8" w:rsidRDefault="009941D8" w:rsidP="009941D8">
            <w:pPr>
              <w:overflowPunct w:val="0"/>
              <w:autoSpaceDE w:val="0"/>
              <w:autoSpaceDN w:val="0"/>
              <w:spacing w:after="120"/>
              <w:jc w:val="center"/>
              <w:rPr>
                <w:color w:val="010000"/>
              </w:rPr>
            </w:pPr>
            <w:r w:rsidRPr="009941D8">
              <w:rPr>
                <w:b/>
                <w:bCs/>
                <w:color w:val="010000"/>
              </w:rPr>
              <w:t>Edinim Tarihi</w:t>
            </w:r>
          </w:p>
        </w:tc>
        <w:tc>
          <w:tcPr>
            <w:tcW w:w="558" w:type="pct"/>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941D8" w:rsidRPr="009941D8" w:rsidRDefault="009941D8" w:rsidP="009941D8">
            <w:pPr>
              <w:overflowPunct w:val="0"/>
              <w:autoSpaceDE w:val="0"/>
              <w:autoSpaceDN w:val="0"/>
              <w:spacing w:after="120"/>
              <w:jc w:val="center"/>
              <w:rPr>
                <w:color w:val="010000"/>
              </w:rPr>
            </w:pPr>
            <w:r w:rsidRPr="009941D8">
              <w:rPr>
                <w:b/>
                <w:bCs/>
                <w:color w:val="010000"/>
              </w:rPr>
              <w:t>Edinen yer</w:t>
            </w:r>
          </w:p>
        </w:tc>
      </w:tr>
      <w:tr w:rsidR="009941D8" w:rsidRPr="009941D8" w:rsidTr="009941D8">
        <w:trPr>
          <w:trHeight w:val="232"/>
          <w:jc w:val="center"/>
        </w:trPr>
        <w:tc>
          <w:tcPr>
            <w:tcW w:w="525" w:type="pct"/>
            <w:vMerge/>
            <w:tcBorders>
              <w:top w:val="single" w:sz="8" w:space="0" w:color="auto"/>
              <w:left w:val="single" w:sz="8" w:space="0" w:color="auto"/>
              <w:bottom w:val="single" w:sz="8" w:space="0" w:color="auto"/>
              <w:right w:val="single" w:sz="8" w:space="0" w:color="auto"/>
            </w:tcBorders>
            <w:vAlign w:val="center"/>
            <w:hideMark/>
          </w:tcPr>
          <w:p w:rsidR="009941D8" w:rsidRPr="009941D8" w:rsidRDefault="009941D8" w:rsidP="009941D8">
            <w:pPr>
              <w:spacing w:after="120"/>
              <w:jc w:val="center"/>
              <w:rPr>
                <w:color w:val="010000"/>
              </w:rPr>
            </w:pPr>
          </w:p>
        </w:tc>
        <w:tc>
          <w:tcPr>
            <w:tcW w:w="502" w:type="pct"/>
            <w:vMerge/>
            <w:tcBorders>
              <w:top w:val="single" w:sz="8" w:space="0" w:color="auto"/>
              <w:left w:val="nil"/>
              <w:bottom w:val="single" w:sz="8" w:space="0" w:color="auto"/>
              <w:right w:val="single" w:sz="8" w:space="0" w:color="auto"/>
            </w:tcBorders>
            <w:vAlign w:val="center"/>
            <w:hideMark/>
          </w:tcPr>
          <w:p w:rsidR="009941D8" w:rsidRPr="009941D8" w:rsidRDefault="009941D8" w:rsidP="009941D8">
            <w:pPr>
              <w:spacing w:after="120"/>
              <w:jc w:val="center"/>
              <w:rPr>
                <w:rFonts w:eastAsia="Times New Roman"/>
                <w:b/>
                <w:bCs/>
                <w:color w:val="010000"/>
              </w:rPr>
            </w:pPr>
          </w:p>
        </w:tc>
        <w:tc>
          <w:tcPr>
            <w:tcW w:w="622" w:type="pct"/>
            <w:vMerge/>
            <w:tcBorders>
              <w:top w:val="single" w:sz="8" w:space="0" w:color="auto"/>
              <w:left w:val="nil"/>
              <w:bottom w:val="single" w:sz="8" w:space="0" w:color="auto"/>
              <w:right w:val="single" w:sz="8" w:space="0" w:color="auto"/>
            </w:tcBorders>
            <w:vAlign w:val="center"/>
            <w:hideMark/>
          </w:tcPr>
          <w:p w:rsidR="009941D8" w:rsidRPr="009941D8" w:rsidRDefault="009941D8" w:rsidP="009941D8">
            <w:pPr>
              <w:spacing w:after="120"/>
              <w:jc w:val="center"/>
              <w:rPr>
                <w:color w:val="010000"/>
              </w:rPr>
            </w:pPr>
          </w:p>
        </w:tc>
        <w:tc>
          <w:tcPr>
            <w:tcW w:w="502" w:type="pct"/>
            <w:vMerge/>
            <w:tcBorders>
              <w:top w:val="single" w:sz="8" w:space="0" w:color="auto"/>
              <w:left w:val="nil"/>
              <w:bottom w:val="single" w:sz="8" w:space="0" w:color="auto"/>
              <w:right w:val="single" w:sz="8" w:space="0" w:color="auto"/>
            </w:tcBorders>
            <w:vAlign w:val="center"/>
            <w:hideMark/>
          </w:tcPr>
          <w:p w:rsidR="009941D8" w:rsidRPr="009941D8" w:rsidRDefault="009941D8" w:rsidP="009941D8">
            <w:pPr>
              <w:spacing w:after="120"/>
              <w:jc w:val="center"/>
              <w:rPr>
                <w:color w:val="010000"/>
              </w:rPr>
            </w:pPr>
          </w:p>
        </w:tc>
        <w:tc>
          <w:tcPr>
            <w:tcW w:w="554" w:type="pct"/>
            <w:vMerge/>
            <w:tcBorders>
              <w:top w:val="single" w:sz="8" w:space="0" w:color="auto"/>
              <w:left w:val="nil"/>
              <w:bottom w:val="single" w:sz="8" w:space="0" w:color="auto"/>
              <w:right w:val="single" w:sz="8" w:space="0" w:color="auto"/>
            </w:tcBorders>
            <w:vAlign w:val="center"/>
            <w:hideMark/>
          </w:tcPr>
          <w:p w:rsidR="009941D8" w:rsidRPr="009941D8" w:rsidRDefault="009941D8" w:rsidP="009941D8">
            <w:pPr>
              <w:spacing w:after="120"/>
              <w:jc w:val="center"/>
              <w:rPr>
                <w:color w:val="010000"/>
              </w:rPr>
            </w:pPr>
          </w:p>
        </w:tc>
        <w:tc>
          <w:tcPr>
            <w:tcW w:w="577" w:type="pct"/>
            <w:tcBorders>
              <w:top w:val="nil"/>
              <w:left w:val="nil"/>
              <w:bottom w:val="single" w:sz="8" w:space="0" w:color="auto"/>
              <w:right w:val="single" w:sz="8" w:space="0" w:color="auto"/>
            </w:tcBorders>
            <w:tcMar>
              <w:top w:w="0" w:type="dxa"/>
              <w:left w:w="70" w:type="dxa"/>
              <w:bottom w:w="0" w:type="dxa"/>
              <w:right w:w="70" w:type="dxa"/>
            </w:tcMar>
            <w:hideMark/>
          </w:tcPr>
          <w:p w:rsidR="009941D8" w:rsidRPr="009941D8" w:rsidRDefault="009941D8" w:rsidP="009941D8">
            <w:pPr>
              <w:overflowPunct w:val="0"/>
              <w:autoSpaceDE w:val="0"/>
              <w:autoSpaceDN w:val="0"/>
              <w:spacing w:after="120"/>
              <w:jc w:val="center"/>
              <w:rPr>
                <w:color w:val="010000"/>
              </w:rPr>
            </w:pPr>
            <w:proofErr w:type="spellStart"/>
            <w:r w:rsidRPr="009941D8">
              <w:rPr>
                <w:b/>
                <w:bCs/>
                <w:color w:val="010000"/>
                <w:szCs w:val="18"/>
              </w:rPr>
              <w:t>KDV</w:t>
            </w:r>
            <w:r w:rsidRPr="009941D8">
              <w:rPr>
                <w:color w:val="010000"/>
                <w:szCs w:val="18"/>
              </w:rPr>
              <w:t>siz</w:t>
            </w:r>
            <w:proofErr w:type="spellEnd"/>
          </w:p>
        </w:tc>
        <w:tc>
          <w:tcPr>
            <w:tcW w:w="537" w:type="pct"/>
            <w:tcBorders>
              <w:top w:val="nil"/>
              <w:left w:val="nil"/>
              <w:bottom w:val="single" w:sz="8" w:space="0" w:color="auto"/>
              <w:right w:val="single" w:sz="8" w:space="0" w:color="auto"/>
            </w:tcBorders>
            <w:tcMar>
              <w:top w:w="0" w:type="dxa"/>
              <w:left w:w="70" w:type="dxa"/>
              <w:bottom w:w="0" w:type="dxa"/>
              <w:right w:w="70" w:type="dxa"/>
            </w:tcMar>
            <w:hideMark/>
          </w:tcPr>
          <w:p w:rsidR="009941D8" w:rsidRPr="009941D8" w:rsidRDefault="009941D8" w:rsidP="009941D8">
            <w:pPr>
              <w:overflowPunct w:val="0"/>
              <w:autoSpaceDE w:val="0"/>
              <w:autoSpaceDN w:val="0"/>
              <w:spacing w:after="120"/>
              <w:jc w:val="center"/>
              <w:rPr>
                <w:color w:val="010000"/>
              </w:rPr>
            </w:pPr>
            <w:r w:rsidRPr="009941D8">
              <w:rPr>
                <w:b/>
                <w:bCs/>
                <w:color w:val="010000"/>
                <w:szCs w:val="18"/>
              </w:rPr>
              <w:t>KDV dahil</w:t>
            </w:r>
          </w:p>
        </w:tc>
        <w:tc>
          <w:tcPr>
            <w:tcW w:w="622" w:type="pct"/>
            <w:vMerge/>
            <w:tcBorders>
              <w:top w:val="single" w:sz="8" w:space="0" w:color="auto"/>
              <w:left w:val="nil"/>
              <w:bottom w:val="single" w:sz="8" w:space="0" w:color="auto"/>
              <w:right w:val="single" w:sz="8" w:space="0" w:color="auto"/>
            </w:tcBorders>
            <w:vAlign w:val="center"/>
            <w:hideMark/>
          </w:tcPr>
          <w:p w:rsidR="009941D8" w:rsidRPr="009941D8" w:rsidRDefault="009941D8" w:rsidP="009941D8">
            <w:pPr>
              <w:spacing w:after="120"/>
              <w:jc w:val="center"/>
              <w:rPr>
                <w:color w:val="010000"/>
              </w:rPr>
            </w:pPr>
          </w:p>
        </w:tc>
        <w:tc>
          <w:tcPr>
            <w:tcW w:w="558" w:type="pct"/>
            <w:vMerge/>
            <w:tcBorders>
              <w:top w:val="single" w:sz="8" w:space="0" w:color="auto"/>
              <w:left w:val="nil"/>
              <w:bottom w:val="single" w:sz="8" w:space="0" w:color="auto"/>
              <w:right w:val="single" w:sz="8" w:space="0" w:color="auto"/>
            </w:tcBorders>
            <w:vAlign w:val="center"/>
            <w:hideMark/>
          </w:tcPr>
          <w:p w:rsidR="009941D8" w:rsidRPr="009941D8" w:rsidRDefault="009941D8" w:rsidP="009941D8">
            <w:pPr>
              <w:spacing w:after="120"/>
              <w:jc w:val="center"/>
              <w:rPr>
                <w:color w:val="010000"/>
              </w:rPr>
            </w:pPr>
          </w:p>
        </w:tc>
      </w:tr>
      <w:tr w:rsidR="009941D8" w:rsidRPr="009941D8" w:rsidTr="009941D8">
        <w:trPr>
          <w:jc w:val="center"/>
        </w:trPr>
        <w:tc>
          <w:tcPr>
            <w:tcW w:w="525"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941D8" w:rsidRPr="009941D8" w:rsidRDefault="009941D8" w:rsidP="009941D8">
            <w:pPr>
              <w:overflowPunct w:val="0"/>
              <w:autoSpaceDE w:val="0"/>
              <w:autoSpaceDN w:val="0"/>
              <w:spacing w:after="120"/>
              <w:jc w:val="center"/>
              <w:rPr>
                <w:color w:val="010000"/>
              </w:rPr>
            </w:pPr>
            <w:r w:rsidRPr="009941D8">
              <w:rPr>
                <w:color w:val="010000"/>
                <w:szCs w:val="20"/>
              </w:rPr>
              <w:t>Faks Cihazı</w:t>
            </w:r>
          </w:p>
        </w:tc>
        <w:tc>
          <w:tcPr>
            <w:tcW w:w="502" w:type="pct"/>
            <w:tcBorders>
              <w:top w:val="nil"/>
              <w:left w:val="nil"/>
              <w:bottom w:val="single" w:sz="8" w:space="0" w:color="auto"/>
              <w:right w:val="single" w:sz="8" w:space="0" w:color="auto"/>
            </w:tcBorders>
            <w:tcMar>
              <w:top w:w="0" w:type="dxa"/>
              <w:left w:w="70" w:type="dxa"/>
              <w:bottom w:w="0" w:type="dxa"/>
              <w:right w:w="70" w:type="dxa"/>
            </w:tcMar>
            <w:hideMark/>
          </w:tcPr>
          <w:p w:rsidR="009941D8" w:rsidRPr="009941D8" w:rsidRDefault="009941D8" w:rsidP="009941D8">
            <w:pPr>
              <w:overflowPunct w:val="0"/>
              <w:autoSpaceDE w:val="0"/>
              <w:autoSpaceDN w:val="0"/>
              <w:spacing w:after="120"/>
              <w:jc w:val="center"/>
              <w:rPr>
                <w:color w:val="010000"/>
              </w:rPr>
            </w:pPr>
            <w:r w:rsidRPr="009941D8">
              <w:rPr>
                <w:color w:val="010000"/>
                <w:szCs w:val="20"/>
              </w:rPr>
              <w:t>1</w:t>
            </w:r>
          </w:p>
        </w:tc>
        <w:tc>
          <w:tcPr>
            <w:tcW w:w="622" w:type="pct"/>
            <w:tcBorders>
              <w:top w:val="nil"/>
              <w:left w:val="nil"/>
              <w:bottom w:val="single" w:sz="8" w:space="0" w:color="auto"/>
              <w:right w:val="single" w:sz="8" w:space="0" w:color="auto"/>
            </w:tcBorders>
            <w:tcMar>
              <w:top w:w="0" w:type="dxa"/>
              <w:left w:w="70" w:type="dxa"/>
              <w:bottom w:w="0" w:type="dxa"/>
              <w:right w:w="70" w:type="dxa"/>
            </w:tcMar>
            <w:hideMark/>
          </w:tcPr>
          <w:p w:rsidR="009941D8" w:rsidRPr="009941D8" w:rsidRDefault="009941D8" w:rsidP="009941D8">
            <w:pPr>
              <w:overflowPunct w:val="0"/>
              <w:autoSpaceDE w:val="0"/>
              <w:autoSpaceDN w:val="0"/>
              <w:spacing w:after="120"/>
              <w:jc w:val="center"/>
              <w:rPr>
                <w:color w:val="010000"/>
              </w:rPr>
            </w:pPr>
            <w:proofErr w:type="spellStart"/>
            <w:r w:rsidRPr="009941D8">
              <w:rPr>
                <w:color w:val="010000"/>
                <w:szCs w:val="20"/>
              </w:rPr>
              <w:t>Satınalma</w:t>
            </w:r>
            <w:proofErr w:type="spellEnd"/>
          </w:p>
        </w:tc>
        <w:tc>
          <w:tcPr>
            <w:tcW w:w="502" w:type="pct"/>
            <w:tcBorders>
              <w:top w:val="nil"/>
              <w:left w:val="nil"/>
              <w:bottom w:val="single" w:sz="8" w:space="0" w:color="auto"/>
              <w:right w:val="single" w:sz="8" w:space="0" w:color="auto"/>
            </w:tcBorders>
            <w:tcMar>
              <w:top w:w="0" w:type="dxa"/>
              <w:left w:w="70" w:type="dxa"/>
              <w:bottom w:w="0" w:type="dxa"/>
              <w:right w:w="70" w:type="dxa"/>
            </w:tcMar>
            <w:hideMark/>
          </w:tcPr>
          <w:p w:rsidR="009941D8" w:rsidRPr="009941D8" w:rsidRDefault="009941D8" w:rsidP="009941D8">
            <w:pPr>
              <w:overflowPunct w:val="0"/>
              <w:autoSpaceDE w:val="0"/>
              <w:autoSpaceDN w:val="0"/>
              <w:spacing w:after="120"/>
              <w:jc w:val="center"/>
              <w:rPr>
                <w:color w:val="010000"/>
              </w:rPr>
            </w:pPr>
            <w:r w:rsidRPr="009941D8">
              <w:rPr>
                <w:color w:val="010000"/>
                <w:szCs w:val="20"/>
              </w:rPr>
              <w:t>Mavi Bilgisayar</w:t>
            </w:r>
          </w:p>
        </w:tc>
        <w:tc>
          <w:tcPr>
            <w:tcW w:w="554" w:type="pct"/>
            <w:tcBorders>
              <w:top w:val="nil"/>
              <w:left w:val="nil"/>
              <w:bottom w:val="single" w:sz="8" w:space="0" w:color="auto"/>
              <w:right w:val="single" w:sz="8" w:space="0" w:color="auto"/>
            </w:tcBorders>
            <w:tcMar>
              <w:top w:w="0" w:type="dxa"/>
              <w:left w:w="70" w:type="dxa"/>
              <w:bottom w:w="0" w:type="dxa"/>
              <w:right w:w="70" w:type="dxa"/>
            </w:tcMar>
            <w:hideMark/>
          </w:tcPr>
          <w:p w:rsidR="009941D8" w:rsidRPr="009941D8" w:rsidRDefault="009941D8" w:rsidP="009941D8">
            <w:pPr>
              <w:overflowPunct w:val="0"/>
              <w:autoSpaceDE w:val="0"/>
              <w:autoSpaceDN w:val="0"/>
              <w:spacing w:after="120"/>
              <w:jc w:val="center"/>
              <w:rPr>
                <w:color w:val="010000"/>
              </w:rPr>
            </w:pPr>
            <w:r w:rsidRPr="009941D8">
              <w:rPr>
                <w:color w:val="010000"/>
                <w:szCs w:val="20"/>
              </w:rPr>
              <w:t>170503</w:t>
            </w:r>
          </w:p>
        </w:tc>
        <w:tc>
          <w:tcPr>
            <w:tcW w:w="577" w:type="pct"/>
            <w:tcBorders>
              <w:top w:val="nil"/>
              <w:left w:val="nil"/>
              <w:bottom w:val="single" w:sz="8" w:space="0" w:color="auto"/>
              <w:right w:val="single" w:sz="8" w:space="0" w:color="auto"/>
            </w:tcBorders>
            <w:tcMar>
              <w:top w:w="0" w:type="dxa"/>
              <w:left w:w="70" w:type="dxa"/>
              <w:bottom w:w="0" w:type="dxa"/>
              <w:right w:w="70" w:type="dxa"/>
            </w:tcMar>
            <w:hideMark/>
          </w:tcPr>
          <w:p w:rsidR="009941D8" w:rsidRPr="009941D8" w:rsidRDefault="009941D8" w:rsidP="009941D8">
            <w:pPr>
              <w:overflowPunct w:val="0"/>
              <w:autoSpaceDE w:val="0"/>
              <w:autoSpaceDN w:val="0"/>
              <w:spacing w:after="120"/>
              <w:jc w:val="center"/>
              <w:rPr>
                <w:color w:val="010000"/>
              </w:rPr>
            </w:pPr>
            <w:r w:rsidRPr="009941D8">
              <w:rPr>
                <w:color w:val="010000"/>
                <w:szCs w:val="20"/>
              </w:rPr>
              <w:t>167,85</w:t>
            </w:r>
          </w:p>
        </w:tc>
        <w:tc>
          <w:tcPr>
            <w:tcW w:w="537" w:type="pct"/>
            <w:tcBorders>
              <w:top w:val="nil"/>
              <w:left w:val="nil"/>
              <w:bottom w:val="single" w:sz="8" w:space="0" w:color="auto"/>
              <w:right w:val="single" w:sz="8" w:space="0" w:color="auto"/>
            </w:tcBorders>
            <w:tcMar>
              <w:top w:w="0" w:type="dxa"/>
              <w:left w:w="70" w:type="dxa"/>
              <w:bottom w:w="0" w:type="dxa"/>
              <w:right w:w="70" w:type="dxa"/>
            </w:tcMar>
            <w:hideMark/>
          </w:tcPr>
          <w:p w:rsidR="009941D8" w:rsidRPr="009941D8" w:rsidRDefault="009941D8" w:rsidP="009941D8">
            <w:pPr>
              <w:overflowPunct w:val="0"/>
              <w:autoSpaceDE w:val="0"/>
              <w:autoSpaceDN w:val="0"/>
              <w:spacing w:after="120"/>
              <w:jc w:val="center"/>
              <w:rPr>
                <w:color w:val="010000"/>
              </w:rPr>
            </w:pPr>
            <w:r w:rsidRPr="009941D8">
              <w:rPr>
                <w:color w:val="010000"/>
                <w:szCs w:val="20"/>
              </w:rPr>
              <w:t>198,06</w:t>
            </w:r>
          </w:p>
        </w:tc>
        <w:tc>
          <w:tcPr>
            <w:tcW w:w="622" w:type="pct"/>
            <w:tcBorders>
              <w:top w:val="nil"/>
              <w:left w:val="nil"/>
              <w:bottom w:val="single" w:sz="8" w:space="0" w:color="auto"/>
              <w:right w:val="single" w:sz="8" w:space="0" w:color="auto"/>
            </w:tcBorders>
            <w:tcMar>
              <w:top w:w="0" w:type="dxa"/>
              <w:left w:w="70" w:type="dxa"/>
              <w:bottom w:w="0" w:type="dxa"/>
              <w:right w:w="70" w:type="dxa"/>
            </w:tcMar>
            <w:hideMark/>
          </w:tcPr>
          <w:p w:rsidR="009941D8" w:rsidRPr="009941D8" w:rsidRDefault="009941D8" w:rsidP="009941D8">
            <w:pPr>
              <w:overflowPunct w:val="0"/>
              <w:autoSpaceDE w:val="0"/>
              <w:autoSpaceDN w:val="0"/>
              <w:spacing w:after="120"/>
              <w:jc w:val="center"/>
              <w:rPr>
                <w:color w:val="010000"/>
              </w:rPr>
            </w:pPr>
            <w:r w:rsidRPr="009941D8">
              <w:rPr>
                <w:color w:val="010000"/>
                <w:szCs w:val="20"/>
              </w:rPr>
              <w:t>9.3.2007</w:t>
            </w:r>
          </w:p>
        </w:tc>
        <w:tc>
          <w:tcPr>
            <w:tcW w:w="558" w:type="pct"/>
            <w:tcBorders>
              <w:top w:val="nil"/>
              <w:left w:val="nil"/>
              <w:bottom w:val="single" w:sz="8" w:space="0" w:color="auto"/>
              <w:right w:val="single" w:sz="8" w:space="0" w:color="auto"/>
            </w:tcBorders>
            <w:tcMar>
              <w:top w:w="0" w:type="dxa"/>
              <w:left w:w="70" w:type="dxa"/>
              <w:bottom w:w="0" w:type="dxa"/>
              <w:right w:w="70" w:type="dxa"/>
            </w:tcMar>
            <w:hideMark/>
          </w:tcPr>
          <w:p w:rsidR="009941D8" w:rsidRPr="009941D8" w:rsidRDefault="009941D8" w:rsidP="009941D8">
            <w:pPr>
              <w:overflowPunct w:val="0"/>
              <w:autoSpaceDE w:val="0"/>
              <w:autoSpaceDN w:val="0"/>
              <w:spacing w:after="120"/>
              <w:jc w:val="center"/>
              <w:rPr>
                <w:color w:val="010000"/>
              </w:rPr>
            </w:pPr>
            <w:r w:rsidRPr="009941D8">
              <w:rPr>
                <w:color w:val="010000"/>
                <w:szCs w:val="20"/>
              </w:rPr>
              <w:t>Parti Genel Merkezi</w:t>
            </w:r>
          </w:p>
        </w:tc>
      </w:tr>
      <w:tr w:rsidR="009941D8" w:rsidRPr="009941D8" w:rsidTr="009941D8">
        <w:trPr>
          <w:jc w:val="center"/>
        </w:trPr>
        <w:tc>
          <w:tcPr>
            <w:tcW w:w="525"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941D8" w:rsidRPr="009941D8" w:rsidRDefault="009941D8" w:rsidP="009941D8">
            <w:pPr>
              <w:overflowPunct w:val="0"/>
              <w:autoSpaceDE w:val="0"/>
              <w:autoSpaceDN w:val="0"/>
              <w:spacing w:after="120"/>
              <w:jc w:val="center"/>
              <w:rPr>
                <w:color w:val="010000"/>
              </w:rPr>
            </w:pPr>
            <w:r w:rsidRPr="009941D8">
              <w:rPr>
                <w:color w:val="010000"/>
                <w:szCs w:val="20"/>
              </w:rPr>
              <w:t>Halı</w:t>
            </w:r>
          </w:p>
        </w:tc>
        <w:tc>
          <w:tcPr>
            <w:tcW w:w="502" w:type="pct"/>
            <w:tcBorders>
              <w:top w:val="nil"/>
              <w:left w:val="nil"/>
              <w:bottom w:val="single" w:sz="8" w:space="0" w:color="auto"/>
              <w:right w:val="single" w:sz="8" w:space="0" w:color="auto"/>
            </w:tcBorders>
            <w:tcMar>
              <w:top w:w="0" w:type="dxa"/>
              <w:left w:w="70" w:type="dxa"/>
              <w:bottom w:w="0" w:type="dxa"/>
              <w:right w:w="70" w:type="dxa"/>
            </w:tcMar>
            <w:hideMark/>
          </w:tcPr>
          <w:p w:rsidR="009941D8" w:rsidRPr="009941D8" w:rsidRDefault="009941D8" w:rsidP="009941D8">
            <w:pPr>
              <w:overflowPunct w:val="0"/>
              <w:autoSpaceDE w:val="0"/>
              <w:autoSpaceDN w:val="0"/>
              <w:spacing w:after="120"/>
              <w:jc w:val="center"/>
              <w:rPr>
                <w:color w:val="010000"/>
              </w:rPr>
            </w:pPr>
            <w:r w:rsidRPr="009941D8">
              <w:rPr>
                <w:color w:val="010000"/>
                <w:szCs w:val="20"/>
              </w:rPr>
              <w:t>1 (12m²)</w:t>
            </w:r>
          </w:p>
        </w:tc>
        <w:tc>
          <w:tcPr>
            <w:tcW w:w="622" w:type="pct"/>
            <w:tcBorders>
              <w:top w:val="nil"/>
              <w:left w:val="nil"/>
              <w:bottom w:val="single" w:sz="8" w:space="0" w:color="auto"/>
              <w:right w:val="single" w:sz="8" w:space="0" w:color="auto"/>
            </w:tcBorders>
            <w:tcMar>
              <w:top w:w="0" w:type="dxa"/>
              <w:left w:w="70" w:type="dxa"/>
              <w:bottom w:w="0" w:type="dxa"/>
              <w:right w:w="70" w:type="dxa"/>
            </w:tcMar>
            <w:hideMark/>
          </w:tcPr>
          <w:p w:rsidR="009941D8" w:rsidRPr="009941D8" w:rsidRDefault="009941D8" w:rsidP="009941D8">
            <w:pPr>
              <w:overflowPunct w:val="0"/>
              <w:autoSpaceDE w:val="0"/>
              <w:autoSpaceDN w:val="0"/>
              <w:spacing w:after="120"/>
              <w:jc w:val="center"/>
              <w:rPr>
                <w:color w:val="010000"/>
              </w:rPr>
            </w:pPr>
            <w:proofErr w:type="spellStart"/>
            <w:r w:rsidRPr="009941D8">
              <w:rPr>
                <w:color w:val="010000"/>
                <w:szCs w:val="20"/>
              </w:rPr>
              <w:t>Satınalma</w:t>
            </w:r>
            <w:proofErr w:type="spellEnd"/>
          </w:p>
        </w:tc>
        <w:tc>
          <w:tcPr>
            <w:tcW w:w="502" w:type="pct"/>
            <w:tcBorders>
              <w:top w:val="nil"/>
              <w:left w:val="nil"/>
              <w:bottom w:val="single" w:sz="8" w:space="0" w:color="auto"/>
              <w:right w:val="single" w:sz="8" w:space="0" w:color="auto"/>
            </w:tcBorders>
            <w:tcMar>
              <w:top w:w="0" w:type="dxa"/>
              <w:left w:w="70" w:type="dxa"/>
              <w:bottom w:w="0" w:type="dxa"/>
              <w:right w:w="70" w:type="dxa"/>
            </w:tcMar>
            <w:hideMark/>
          </w:tcPr>
          <w:p w:rsidR="009941D8" w:rsidRPr="009941D8" w:rsidRDefault="009941D8" w:rsidP="009941D8">
            <w:pPr>
              <w:overflowPunct w:val="0"/>
              <w:autoSpaceDE w:val="0"/>
              <w:autoSpaceDN w:val="0"/>
              <w:spacing w:after="120"/>
              <w:jc w:val="center"/>
              <w:rPr>
                <w:color w:val="010000"/>
              </w:rPr>
            </w:pPr>
            <w:r w:rsidRPr="009941D8">
              <w:rPr>
                <w:color w:val="010000"/>
                <w:szCs w:val="20"/>
              </w:rPr>
              <w:t>Hitit Halı Dek. İnş. San. Tic. Ltd. Şti.</w:t>
            </w:r>
          </w:p>
        </w:tc>
        <w:tc>
          <w:tcPr>
            <w:tcW w:w="554" w:type="pct"/>
            <w:tcBorders>
              <w:top w:val="nil"/>
              <w:left w:val="nil"/>
              <w:bottom w:val="single" w:sz="8" w:space="0" w:color="auto"/>
              <w:right w:val="single" w:sz="8" w:space="0" w:color="auto"/>
            </w:tcBorders>
            <w:tcMar>
              <w:top w:w="0" w:type="dxa"/>
              <w:left w:w="70" w:type="dxa"/>
              <w:bottom w:w="0" w:type="dxa"/>
              <w:right w:w="70" w:type="dxa"/>
            </w:tcMar>
            <w:hideMark/>
          </w:tcPr>
          <w:p w:rsidR="009941D8" w:rsidRPr="009941D8" w:rsidRDefault="009941D8" w:rsidP="009941D8">
            <w:pPr>
              <w:overflowPunct w:val="0"/>
              <w:autoSpaceDE w:val="0"/>
              <w:autoSpaceDN w:val="0"/>
              <w:spacing w:after="120"/>
              <w:jc w:val="center"/>
              <w:rPr>
                <w:color w:val="010000"/>
              </w:rPr>
            </w:pPr>
            <w:r w:rsidRPr="009941D8">
              <w:rPr>
                <w:color w:val="010000"/>
                <w:szCs w:val="20"/>
              </w:rPr>
              <w:t>45613</w:t>
            </w:r>
          </w:p>
        </w:tc>
        <w:tc>
          <w:tcPr>
            <w:tcW w:w="577" w:type="pct"/>
            <w:tcBorders>
              <w:top w:val="nil"/>
              <w:left w:val="nil"/>
              <w:bottom w:val="single" w:sz="8" w:space="0" w:color="auto"/>
              <w:right w:val="single" w:sz="8" w:space="0" w:color="auto"/>
            </w:tcBorders>
            <w:tcMar>
              <w:top w:w="0" w:type="dxa"/>
              <w:left w:w="70" w:type="dxa"/>
              <w:bottom w:w="0" w:type="dxa"/>
              <w:right w:w="70" w:type="dxa"/>
            </w:tcMar>
            <w:hideMark/>
          </w:tcPr>
          <w:p w:rsidR="009941D8" w:rsidRPr="009941D8" w:rsidRDefault="009941D8" w:rsidP="009941D8">
            <w:pPr>
              <w:overflowPunct w:val="0"/>
              <w:autoSpaceDE w:val="0"/>
              <w:autoSpaceDN w:val="0"/>
              <w:spacing w:after="120"/>
              <w:jc w:val="center"/>
              <w:rPr>
                <w:color w:val="010000"/>
              </w:rPr>
            </w:pPr>
            <w:r w:rsidRPr="009941D8">
              <w:rPr>
                <w:color w:val="010000"/>
                <w:szCs w:val="20"/>
              </w:rPr>
              <w:t>133,44</w:t>
            </w:r>
          </w:p>
        </w:tc>
        <w:tc>
          <w:tcPr>
            <w:tcW w:w="537" w:type="pct"/>
            <w:tcBorders>
              <w:top w:val="nil"/>
              <w:left w:val="nil"/>
              <w:bottom w:val="single" w:sz="8" w:space="0" w:color="auto"/>
              <w:right w:val="single" w:sz="8" w:space="0" w:color="auto"/>
            </w:tcBorders>
            <w:tcMar>
              <w:top w:w="0" w:type="dxa"/>
              <w:left w:w="70" w:type="dxa"/>
              <w:bottom w:w="0" w:type="dxa"/>
              <w:right w:w="70" w:type="dxa"/>
            </w:tcMar>
            <w:hideMark/>
          </w:tcPr>
          <w:p w:rsidR="009941D8" w:rsidRPr="009941D8" w:rsidRDefault="009941D8" w:rsidP="009941D8">
            <w:pPr>
              <w:overflowPunct w:val="0"/>
              <w:autoSpaceDE w:val="0"/>
              <w:autoSpaceDN w:val="0"/>
              <w:spacing w:after="120"/>
              <w:jc w:val="center"/>
              <w:rPr>
                <w:color w:val="010000"/>
              </w:rPr>
            </w:pPr>
            <w:r w:rsidRPr="009941D8">
              <w:rPr>
                <w:color w:val="010000"/>
                <w:szCs w:val="20"/>
              </w:rPr>
              <w:t>144,11</w:t>
            </w:r>
          </w:p>
        </w:tc>
        <w:tc>
          <w:tcPr>
            <w:tcW w:w="622" w:type="pct"/>
            <w:tcBorders>
              <w:top w:val="nil"/>
              <w:left w:val="nil"/>
              <w:bottom w:val="single" w:sz="8" w:space="0" w:color="auto"/>
              <w:right w:val="single" w:sz="8" w:space="0" w:color="auto"/>
            </w:tcBorders>
            <w:tcMar>
              <w:top w:w="0" w:type="dxa"/>
              <w:left w:w="70" w:type="dxa"/>
              <w:bottom w:w="0" w:type="dxa"/>
              <w:right w:w="70" w:type="dxa"/>
            </w:tcMar>
            <w:hideMark/>
          </w:tcPr>
          <w:p w:rsidR="009941D8" w:rsidRPr="009941D8" w:rsidRDefault="009941D8" w:rsidP="009941D8">
            <w:pPr>
              <w:overflowPunct w:val="0"/>
              <w:autoSpaceDE w:val="0"/>
              <w:autoSpaceDN w:val="0"/>
              <w:spacing w:after="120"/>
              <w:jc w:val="center"/>
              <w:rPr>
                <w:color w:val="010000"/>
              </w:rPr>
            </w:pPr>
            <w:r w:rsidRPr="009941D8">
              <w:rPr>
                <w:color w:val="010000"/>
                <w:szCs w:val="20"/>
              </w:rPr>
              <w:t>14.4.2007</w:t>
            </w:r>
          </w:p>
        </w:tc>
        <w:tc>
          <w:tcPr>
            <w:tcW w:w="558" w:type="pct"/>
            <w:tcBorders>
              <w:top w:val="nil"/>
              <w:left w:val="nil"/>
              <w:bottom w:val="single" w:sz="8" w:space="0" w:color="auto"/>
              <w:right w:val="single" w:sz="8" w:space="0" w:color="auto"/>
            </w:tcBorders>
            <w:tcMar>
              <w:top w:w="0" w:type="dxa"/>
              <w:left w:w="70" w:type="dxa"/>
              <w:bottom w:w="0" w:type="dxa"/>
              <w:right w:w="70" w:type="dxa"/>
            </w:tcMar>
            <w:hideMark/>
          </w:tcPr>
          <w:p w:rsidR="009941D8" w:rsidRPr="009941D8" w:rsidRDefault="009941D8" w:rsidP="009941D8">
            <w:pPr>
              <w:overflowPunct w:val="0"/>
              <w:autoSpaceDE w:val="0"/>
              <w:autoSpaceDN w:val="0"/>
              <w:spacing w:after="120"/>
              <w:jc w:val="center"/>
              <w:rPr>
                <w:color w:val="010000"/>
              </w:rPr>
            </w:pPr>
            <w:r w:rsidRPr="009941D8">
              <w:rPr>
                <w:color w:val="010000"/>
                <w:szCs w:val="20"/>
              </w:rPr>
              <w:t>'</w:t>
            </w:r>
          </w:p>
        </w:tc>
      </w:tr>
    </w:tbl>
    <w:p w:rsidR="009941D8" w:rsidRPr="009941D8" w:rsidRDefault="009941D8" w:rsidP="009941D8">
      <w:pPr>
        <w:spacing w:after="200"/>
        <w:ind w:left="283" w:right="283" w:firstLine="709"/>
        <w:jc w:val="both"/>
        <w:rPr>
          <w:color w:val="010000"/>
        </w:rPr>
      </w:pPr>
      <w:r w:rsidRPr="009941D8">
        <w:rPr>
          <w:color w:val="010000"/>
          <w:szCs w:val="26"/>
        </w:rPr>
        <w:t xml:space="preserve">Parti'nin </w:t>
      </w:r>
      <w:proofErr w:type="spellStart"/>
      <w:r w:rsidRPr="009941D8">
        <w:rPr>
          <w:color w:val="010000"/>
          <w:szCs w:val="26"/>
        </w:rPr>
        <w:t>satınalma</w:t>
      </w:r>
      <w:proofErr w:type="spellEnd"/>
      <w:r w:rsidRPr="009941D8">
        <w:rPr>
          <w:color w:val="010000"/>
          <w:szCs w:val="26"/>
        </w:rPr>
        <w:t xml:space="preserve"> yoluyla yaptığı edinimlerin 2820 sayılı Yasa'ya uygun olduğu sonucuna varılmıştır.</w:t>
      </w:r>
    </w:p>
    <w:p w:rsidR="009941D8" w:rsidRPr="009941D8" w:rsidRDefault="009941D8" w:rsidP="009941D8">
      <w:pPr>
        <w:spacing w:after="200"/>
        <w:ind w:left="283" w:right="283" w:firstLine="709"/>
        <w:jc w:val="both"/>
        <w:rPr>
          <w:color w:val="010000"/>
        </w:rPr>
      </w:pPr>
      <w:r w:rsidRPr="009941D8">
        <w:rPr>
          <w:b/>
          <w:bCs/>
          <w:color w:val="010000"/>
          <w:szCs w:val="26"/>
        </w:rPr>
        <w:t>IV- SONUÇ</w:t>
      </w:r>
    </w:p>
    <w:p w:rsidR="009941D8" w:rsidRPr="009941D8" w:rsidRDefault="009941D8" w:rsidP="009941D8">
      <w:pPr>
        <w:spacing w:after="200"/>
        <w:ind w:left="283" w:right="283" w:firstLine="709"/>
        <w:jc w:val="both"/>
        <w:rPr>
          <w:color w:val="010000"/>
        </w:rPr>
      </w:pPr>
      <w:r w:rsidRPr="009941D8">
        <w:rPr>
          <w:color w:val="010000"/>
          <w:szCs w:val="26"/>
        </w:rPr>
        <w:t xml:space="preserve">Vatanseverler Partisi'nin 2007 yılı </w:t>
      </w:r>
      <w:proofErr w:type="spellStart"/>
      <w:r w:rsidRPr="009941D8">
        <w:rPr>
          <w:color w:val="010000"/>
          <w:szCs w:val="26"/>
        </w:rPr>
        <w:t>kesinhesabının</w:t>
      </w:r>
      <w:proofErr w:type="spellEnd"/>
      <w:r w:rsidRPr="009941D8">
        <w:rPr>
          <w:color w:val="010000"/>
          <w:szCs w:val="26"/>
        </w:rPr>
        <w:t xml:space="preserve"> incelenmesi sonucunda;</w:t>
      </w:r>
    </w:p>
    <w:p w:rsidR="009941D8" w:rsidRPr="009941D8" w:rsidRDefault="009941D8" w:rsidP="009941D8">
      <w:pPr>
        <w:spacing w:after="200"/>
        <w:ind w:left="283" w:right="283" w:firstLine="709"/>
        <w:jc w:val="both"/>
        <w:rPr>
          <w:color w:val="010000"/>
        </w:rPr>
      </w:pPr>
      <w:r w:rsidRPr="009941D8">
        <w:rPr>
          <w:b/>
          <w:bCs/>
          <w:color w:val="010000"/>
          <w:szCs w:val="26"/>
        </w:rPr>
        <w:t>1-</w:t>
      </w:r>
      <w:r w:rsidRPr="009941D8">
        <w:rPr>
          <w:color w:val="010000"/>
          <w:szCs w:val="26"/>
        </w:rPr>
        <w:t xml:space="preserve"> Parti'nin </w:t>
      </w:r>
      <w:proofErr w:type="spellStart"/>
      <w:r w:rsidRPr="009941D8">
        <w:rPr>
          <w:color w:val="010000"/>
          <w:szCs w:val="26"/>
        </w:rPr>
        <w:t>kesinhesabında</w:t>
      </w:r>
      <w:proofErr w:type="spellEnd"/>
      <w:r w:rsidRPr="009941D8">
        <w:rPr>
          <w:color w:val="010000"/>
          <w:szCs w:val="26"/>
        </w:rPr>
        <w:t xml:space="preserve"> gösterilen 79.982,00 YTL gelirin, 79.783,80 YTL giderin ve 1,45 YTL nakit devrinin eldeki bilgi ve belgelere göre doğru ve 2820 sayılı Siyasi Partiler Kanunu'na uygun olduğuna;</w:t>
      </w:r>
    </w:p>
    <w:p w:rsidR="009941D8" w:rsidRPr="009941D8" w:rsidRDefault="009941D8" w:rsidP="009941D8">
      <w:pPr>
        <w:pStyle w:val="GvdeMetni"/>
        <w:spacing w:before="0" w:beforeAutospacing="0" w:after="200" w:afterAutospacing="0" w:line="240" w:lineRule="auto"/>
        <w:ind w:left="283" w:right="283" w:firstLine="709"/>
        <w:jc w:val="both"/>
        <w:rPr>
          <w:color w:val="010000"/>
        </w:rPr>
      </w:pPr>
      <w:r w:rsidRPr="009941D8">
        <w:rPr>
          <w:b/>
          <w:bCs/>
          <w:color w:val="010000"/>
          <w:szCs w:val="26"/>
        </w:rPr>
        <w:t>2-</w:t>
      </w:r>
      <w:r w:rsidRPr="009941D8">
        <w:rPr>
          <w:color w:val="010000"/>
          <w:szCs w:val="26"/>
        </w:rPr>
        <w:t xml:space="preserve"> 2820 sayılı Yasa'nın 70. maddesine aykırı olarak yapılan 196,75 YTL. </w:t>
      </w:r>
      <w:proofErr w:type="gramStart"/>
      <w:r w:rsidRPr="009941D8">
        <w:rPr>
          <w:color w:val="010000"/>
          <w:szCs w:val="26"/>
        </w:rPr>
        <w:t>gider</w:t>
      </w:r>
      <w:proofErr w:type="gramEnd"/>
      <w:r w:rsidRPr="009941D8">
        <w:rPr>
          <w:color w:val="010000"/>
          <w:szCs w:val="26"/>
        </w:rPr>
        <w:t xml:space="preserve"> karşılığı Parti malvarlığının, aynı Yasa'nın 75. maddesi uyarınca Hazine'ye </w:t>
      </w:r>
      <w:proofErr w:type="spellStart"/>
      <w:r w:rsidRPr="009941D8">
        <w:rPr>
          <w:color w:val="010000"/>
          <w:szCs w:val="26"/>
        </w:rPr>
        <w:t>irad</w:t>
      </w:r>
      <w:proofErr w:type="spellEnd"/>
      <w:r w:rsidRPr="009941D8">
        <w:rPr>
          <w:color w:val="010000"/>
          <w:szCs w:val="26"/>
        </w:rPr>
        <w:t xml:space="preserve"> kaydedilmesi gerektiğine;</w:t>
      </w:r>
    </w:p>
    <w:p w:rsidR="009941D8" w:rsidRPr="009941D8" w:rsidRDefault="009941D8" w:rsidP="009941D8">
      <w:pPr>
        <w:pStyle w:val="GvdeMetni"/>
        <w:spacing w:before="0" w:beforeAutospacing="0" w:after="200" w:afterAutospacing="0" w:line="240" w:lineRule="auto"/>
        <w:ind w:left="283" w:right="283" w:firstLine="709"/>
        <w:jc w:val="both"/>
        <w:rPr>
          <w:color w:val="010000"/>
        </w:rPr>
      </w:pPr>
      <w:r w:rsidRPr="009941D8">
        <w:rPr>
          <w:b/>
          <w:bCs/>
          <w:color w:val="010000"/>
          <w:szCs w:val="26"/>
        </w:rPr>
        <w:t>3-</w:t>
      </w:r>
      <w:r w:rsidRPr="009941D8">
        <w:rPr>
          <w:color w:val="010000"/>
          <w:szCs w:val="26"/>
        </w:rPr>
        <w:t xml:space="preserve"> Parti Genel Merkezi kira giderlerinin, parti defter ve kayıtlarına hatalı olarak geçirilmesi sonucu ortaya çıkan 6.250.-YTL tutarındaki noksan gider kaydına ilişkin düzeltme </w:t>
      </w:r>
      <w:r w:rsidRPr="009941D8">
        <w:rPr>
          <w:color w:val="010000"/>
          <w:szCs w:val="26"/>
        </w:rPr>
        <w:lastRenderedPageBreak/>
        <w:t>kaydının yapılması ve bu işlemin düzeltme kaydının yapıldığı yıl hesabı içinde izlenmesi gerektiğine;</w:t>
      </w:r>
    </w:p>
    <w:p w:rsidR="009941D8" w:rsidRPr="009941D8" w:rsidRDefault="009941D8" w:rsidP="009941D8">
      <w:pPr>
        <w:spacing w:after="200"/>
        <w:ind w:left="283" w:right="283" w:firstLine="709"/>
        <w:jc w:val="both"/>
        <w:rPr>
          <w:color w:val="010000"/>
        </w:rPr>
      </w:pPr>
      <w:r w:rsidRPr="009941D8">
        <w:rPr>
          <w:color w:val="010000"/>
          <w:szCs w:val="26"/>
        </w:rPr>
        <w:t>16.7.2009 gününde OYBİRLİĞİYLE karar verildi.</w:t>
      </w:r>
    </w:p>
    <w:tbl>
      <w:tblPr>
        <w:tblW w:w="5000" w:type="pct"/>
        <w:jc w:val="center"/>
        <w:tblCellMar>
          <w:left w:w="0" w:type="dxa"/>
          <w:right w:w="0" w:type="dxa"/>
        </w:tblCellMar>
        <w:tblLook w:val="04A0" w:firstRow="1" w:lastRow="0" w:firstColumn="1" w:lastColumn="0" w:noHBand="0" w:noVBand="1"/>
      </w:tblPr>
      <w:tblGrid>
        <w:gridCol w:w="3260"/>
        <w:gridCol w:w="3259"/>
        <w:gridCol w:w="3261"/>
      </w:tblGrid>
      <w:tr w:rsidR="009941D8" w:rsidRPr="009941D8" w:rsidTr="009941D8">
        <w:trPr>
          <w:jc w:val="center"/>
        </w:trPr>
        <w:tc>
          <w:tcPr>
            <w:tcW w:w="1666" w:type="pct"/>
            <w:tcMar>
              <w:top w:w="0" w:type="dxa"/>
              <w:left w:w="108" w:type="dxa"/>
              <w:bottom w:w="0" w:type="dxa"/>
              <w:right w:w="108" w:type="dxa"/>
            </w:tcMar>
            <w:hideMark/>
          </w:tcPr>
          <w:p w:rsidR="009941D8" w:rsidRPr="009941D8" w:rsidRDefault="009941D8" w:rsidP="009941D8">
            <w:pPr>
              <w:overflowPunct w:val="0"/>
              <w:autoSpaceDE w:val="0"/>
              <w:autoSpaceDN w:val="0"/>
              <w:spacing w:after="120"/>
              <w:jc w:val="center"/>
              <w:rPr>
                <w:color w:val="010000"/>
              </w:rPr>
            </w:pPr>
            <w:r w:rsidRPr="009941D8">
              <w:rPr>
                <w:color w:val="010000"/>
                <w:szCs w:val="26"/>
              </w:rPr>
              <w:t>Başkan</w:t>
            </w:r>
          </w:p>
          <w:p w:rsidR="009941D8" w:rsidRPr="009941D8" w:rsidRDefault="009941D8" w:rsidP="009941D8">
            <w:pPr>
              <w:overflowPunct w:val="0"/>
              <w:autoSpaceDE w:val="0"/>
              <w:autoSpaceDN w:val="0"/>
              <w:spacing w:after="120"/>
              <w:jc w:val="center"/>
              <w:rPr>
                <w:color w:val="010000"/>
              </w:rPr>
            </w:pPr>
            <w:r w:rsidRPr="009941D8">
              <w:rPr>
                <w:color w:val="010000"/>
                <w:szCs w:val="26"/>
              </w:rPr>
              <w:t>Haşim KILIÇ</w:t>
            </w:r>
          </w:p>
        </w:tc>
        <w:tc>
          <w:tcPr>
            <w:tcW w:w="1666" w:type="pct"/>
            <w:tcMar>
              <w:top w:w="0" w:type="dxa"/>
              <w:left w:w="108" w:type="dxa"/>
              <w:bottom w:w="0" w:type="dxa"/>
              <w:right w:w="108" w:type="dxa"/>
            </w:tcMar>
            <w:hideMark/>
          </w:tcPr>
          <w:p w:rsidR="009941D8" w:rsidRPr="009941D8" w:rsidRDefault="009941D8" w:rsidP="009941D8">
            <w:pPr>
              <w:overflowPunct w:val="0"/>
              <w:autoSpaceDE w:val="0"/>
              <w:autoSpaceDN w:val="0"/>
              <w:spacing w:after="120"/>
              <w:jc w:val="center"/>
              <w:rPr>
                <w:color w:val="010000"/>
              </w:rPr>
            </w:pPr>
            <w:r w:rsidRPr="009941D8">
              <w:rPr>
                <w:color w:val="010000"/>
                <w:szCs w:val="26"/>
              </w:rPr>
              <w:t>Üye</w:t>
            </w:r>
          </w:p>
          <w:p w:rsidR="009941D8" w:rsidRPr="009941D8" w:rsidRDefault="009941D8" w:rsidP="009941D8">
            <w:pPr>
              <w:overflowPunct w:val="0"/>
              <w:autoSpaceDE w:val="0"/>
              <w:autoSpaceDN w:val="0"/>
              <w:spacing w:after="120"/>
              <w:jc w:val="center"/>
              <w:rPr>
                <w:color w:val="010000"/>
              </w:rPr>
            </w:pPr>
            <w:proofErr w:type="spellStart"/>
            <w:r w:rsidRPr="009941D8">
              <w:rPr>
                <w:color w:val="010000"/>
                <w:szCs w:val="26"/>
              </w:rPr>
              <w:t>Sacit</w:t>
            </w:r>
            <w:proofErr w:type="spellEnd"/>
            <w:r w:rsidRPr="009941D8">
              <w:rPr>
                <w:color w:val="010000"/>
                <w:szCs w:val="26"/>
              </w:rPr>
              <w:t xml:space="preserve"> ADALI</w:t>
            </w:r>
          </w:p>
        </w:tc>
        <w:tc>
          <w:tcPr>
            <w:tcW w:w="1667" w:type="pct"/>
            <w:tcMar>
              <w:top w:w="0" w:type="dxa"/>
              <w:left w:w="108" w:type="dxa"/>
              <w:bottom w:w="0" w:type="dxa"/>
              <w:right w:w="108" w:type="dxa"/>
            </w:tcMar>
            <w:hideMark/>
          </w:tcPr>
          <w:p w:rsidR="009941D8" w:rsidRPr="009941D8" w:rsidRDefault="009941D8" w:rsidP="009941D8">
            <w:pPr>
              <w:overflowPunct w:val="0"/>
              <w:autoSpaceDE w:val="0"/>
              <w:autoSpaceDN w:val="0"/>
              <w:spacing w:after="120"/>
              <w:jc w:val="center"/>
              <w:rPr>
                <w:color w:val="010000"/>
              </w:rPr>
            </w:pPr>
            <w:r w:rsidRPr="009941D8">
              <w:rPr>
                <w:color w:val="010000"/>
                <w:szCs w:val="26"/>
              </w:rPr>
              <w:t>Üye</w:t>
            </w:r>
          </w:p>
          <w:p w:rsidR="009941D8" w:rsidRPr="009941D8" w:rsidRDefault="009941D8" w:rsidP="009941D8">
            <w:pPr>
              <w:overflowPunct w:val="0"/>
              <w:autoSpaceDE w:val="0"/>
              <w:autoSpaceDN w:val="0"/>
              <w:spacing w:after="120"/>
              <w:jc w:val="center"/>
              <w:rPr>
                <w:color w:val="010000"/>
              </w:rPr>
            </w:pPr>
            <w:r w:rsidRPr="009941D8">
              <w:rPr>
                <w:color w:val="010000"/>
                <w:szCs w:val="26"/>
              </w:rPr>
              <w:t>Fulya KANTARCIOĞLU</w:t>
            </w:r>
          </w:p>
        </w:tc>
      </w:tr>
    </w:tbl>
    <w:p w:rsidR="009941D8" w:rsidRPr="009941D8" w:rsidRDefault="009941D8" w:rsidP="009941D8">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60"/>
        <w:gridCol w:w="3259"/>
        <w:gridCol w:w="3261"/>
      </w:tblGrid>
      <w:tr w:rsidR="009941D8" w:rsidRPr="009941D8" w:rsidTr="009941D8">
        <w:trPr>
          <w:jc w:val="center"/>
        </w:trPr>
        <w:tc>
          <w:tcPr>
            <w:tcW w:w="1666" w:type="pct"/>
            <w:tcMar>
              <w:top w:w="0" w:type="dxa"/>
              <w:left w:w="108" w:type="dxa"/>
              <w:bottom w:w="0" w:type="dxa"/>
              <w:right w:w="108" w:type="dxa"/>
            </w:tcMar>
            <w:hideMark/>
          </w:tcPr>
          <w:p w:rsidR="009941D8" w:rsidRPr="009941D8" w:rsidRDefault="009941D8" w:rsidP="009941D8">
            <w:pPr>
              <w:overflowPunct w:val="0"/>
              <w:autoSpaceDE w:val="0"/>
              <w:autoSpaceDN w:val="0"/>
              <w:spacing w:after="120"/>
              <w:jc w:val="center"/>
              <w:rPr>
                <w:color w:val="010000"/>
              </w:rPr>
            </w:pPr>
            <w:r w:rsidRPr="009941D8">
              <w:rPr>
                <w:color w:val="010000"/>
                <w:szCs w:val="26"/>
              </w:rPr>
              <w:t>Üye</w:t>
            </w:r>
          </w:p>
          <w:p w:rsidR="009941D8" w:rsidRPr="009941D8" w:rsidRDefault="009941D8" w:rsidP="009941D8">
            <w:pPr>
              <w:overflowPunct w:val="0"/>
              <w:autoSpaceDE w:val="0"/>
              <w:autoSpaceDN w:val="0"/>
              <w:spacing w:after="120"/>
              <w:jc w:val="center"/>
              <w:rPr>
                <w:color w:val="010000"/>
              </w:rPr>
            </w:pPr>
            <w:r w:rsidRPr="009941D8">
              <w:rPr>
                <w:color w:val="010000"/>
                <w:szCs w:val="26"/>
              </w:rPr>
              <w:t>Ahmet AKYALÇIN</w:t>
            </w:r>
          </w:p>
        </w:tc>
        <w:tc>
          <w:tcPr>
            <w:tcW w:w="1666" w:type="pct"/>
            <w:tcMar>
              <w:top w:w="0" w:type="dxa"/>
              <w:left w:w="108" w:type="dxa"/>
              <w:bottom w:w="0" w:type="dxa"/>
              <w:right w:w="108" w:type="dxa"/>
            </w:tcMar>
            <w:hideMark/>
          </w:tcPr>
          <w:p w:rsidR="009941D8" w:rsidRPr="009941D8" w:rsidRDefault="009941D8" w:rsidP="009941D8">
            <w:pPr>
              <w:overflowPunct w:val="0"/>
              <w:autoSpaceDE w:val="0"/>
              <w:autoSpaceDN w:val="0"/>
              <w:spacing w:after="120"/>
              <w:jc w:val="center"/>
              <w:rPr>
                <w:color w:val="010000"/>
              </w:rPr>
            </w:pPr>
            <w:r w:rsidRPr="009941D8">
              <w:rPr>
                <w:color w:val="010000"/>
                <w:szCs w:val="26"/>
              </w:rPr>
              <w:t>Üye</w:t>
            </w:r>
          </w:p>
          <w:p w:rsidR="009941D8" w:rsidRPr="009941D8" w:rsidRDefault="009941D8" w:rsidP="009941D8">
            <w:pPr>
              <w:overflowPunct w:val="0"/>
              <w:autoSpaceDE w:val="0"/>
              <w:autoSpaceDN w:val="0"/>
              <w:spacing w:after="120"/>
              <w:jc w:val="center"/>
              <w:rPr>
                <w:color w:val="010000"/>
              </w:rPr>
            </w:pPr>
            <w:r w:rsidRPr="009941D8">
              <w:rPr>
                <w:color w:val="010000"/>
                <w:szCs w:val="26"/>
              </w:rPr>
              <w:t>Mehmet ERTEN</w:t>
            </w:r>
          </w:p>
        </w:tc>
        <w:tc>
          <w:tcPr>
            <w:tcW w:w="1667" w:type="pct"/>
            <w:tcMar>
              <w:top w:w="0" w:type="dxa"/>
              <w:left w:w="108" w:type="dxa"/>
              <w:bottom w:w="0" w:type="dxa"/>
              <w:right w:w="108" w:type="dxa"/>
            </w:tcMar>
            <w:hideMark/>
          </w:tcPr>
          <w:p w:rsidR="009941D8" w:rsidRPr="009941D8" w:rsidRDefault="009941D8" w:rsidP="009941D8">
            <w:pPr>
              <w:overflowPunct w:val="0"/>
              <w:autoSpaceDE w:val="0"/>
              <w:autoSpaceDN w:val="0"/>
              <w:spacing w:after="120"/>
              <w:jc w:val="center"/>
              <w:rPr>
                <w:color w:val="010000"/>
              </w:rPr>
            </w:pPr>
            <w:r w:rsidRPr="009941D8">
              <w:rPr>
                <w:color w:val="010000"/>
                <w:szCs w:val="26"/>
              </w:rPr>
              <w:t>Üye</w:t>
            </w:r>
          </w:p>
          <w:p w:rsidR="009941D8" w:rsidRPr="009941D8" w:rsidRDefault="009941D8" w:rsidP="009941D8">
            <w:pPr>
              <w:overflowPunct w:val="0"/>
              <w:autoSpaceDE w:val="0"/>
              <w:autoSpaceDN w:val="0"/>
              <w:spacing w:after="120"/>
              <w:jc w:val="center"/>
              <w:rPr>
                <w:color w:val="010000"/>
              </w:rPr>
            </w:pPr>
            <w:r w:rsidRPr="009941D8">
              <w:rPr>
                <w:color w:val="010000"/>
                <w:szCs w:val="26"/>
              </w:rPr>
              <w:t>Mustafa YILDIRIM</w:t>
            </w:r>
          </w:p>
        </w:tc>
      </w:tr>
    </w:tbl>
    <w:p w:rsidR="009941D8" w:rsidRPr="009941D8" w:rsidRDefault="009941D8" w:rsidP="009941D8">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60"/>
        <w:gridCol w:w="3259"/>
        <w:gridCol w:w="3261"/>
      </w:tblGrid>
      <w:tr w:rsidR="009941D8" w:rsidRPr="009941D8" w:rsidTr="009941D8">
        <w:trPr>
          <w:jc w:val="center"/>
        </w:trPr>
        <w:tc>
          <w:tcPr>
            <w:tcW w:w="1666" w:type="pct"/>
            <w:tcMar>
              <w:top w:w="0" w:type="dxa"/>
              <w:left w:w="108" w:type="dxa"/>
              <w:bottom w:w="0" w:type="dxa"/>
              <w:right w:w="108" w:type="dxa"/>
            </w:tcMar>
            <w:hideMark/>
          </w:tcPr>
          <w:p w:rsidR="009941D8" w:rsidRPr="009941D8" w:rsidRDefault="009941D8" w:rsidP="009941D8">
            <w:pPr>
              <w:overflowPunct w:val="0"/>
              <w:autoSpaceDE w:val="0"/>
              <w:autoSpaceDN w:val="0"/>
              <w:spacing w:after="120"/>
              <w:jc w:val="center"/>
              <w:rPr>
                <w:color w:val="010000"/>
              </w:rPr>
            </w:pPr>
            <w:bookmarkStart w:id="0" w:name="_GoBack" w:colFirst="1" w:colLast="1"/>
            <w:r w:rsidRPr="009941D8">
              <w:rPr>
                <w:color w:val="010000"/>
                <w:szCs w:val="26"/>
              </w:rPr>
              <w:t>Üye</w:t>
            </w:r>
          </w:p>
          <w:p w:rsidR="009941D8" w:rsidRPr="009941D8" w:rsidRDefault="009941D8" w:rsidP="009941D8">
            <w:pPr>
              <w:overflowPunct w:val="0"/>
              <w:autoSpaceDE w:val="0"/>
              <w:autoSpaceDN w:val="0"/>
              <w:spacing w:after="120"/>
              <w:jc w:val="center"/>
              <w:rPr>
                <w:color w:val="010000"/>
              </w:rPr>
            </w:pPr>
            <w:r w:rsidRPr="009941D8">
              <w:rPr>
                <w:color w:val="010000"/>
                <w:szCs w:val="26"/>
              </w:rPr>
              <w:t>A. Necmi ÖZLER</w:t>
            </w:r>
          </w:p>
        </w:tc>
        <w:tc>
          <w:tcPr>
            <w:tcW w:w="1666" w:type="pct"/>
            <w:tcMar>
              <w:top w:w="0" w:type="dxa"/>
              <w:left w:w="108" w:type="dxa"/>
              <w:bottom w:w="0" w:type="dxa"/>
              <w:right w:w="108" w:type="dxa"/>
            </w:tcMar>
            <w:hideMark/>
          </w:tcPr>
          <w:p w:rsidR="009941D8" w:rsidRPr="009941D8" w:rsidRDefault="009941D8" w:rsidP="009941D8">
            <w:pPr>
              <w:overflowPunct w:val="0"/>
              <w:autoSpaceDE w:val="0"/>
              <w:autoSpaceDN w:val="0"/>
              <w:spacing w:after="120"/>
              <w:jc w:val="center"/>
              <w:rPr>
                <w:color w:val="010000"/>
              </w:rPr>
            </w:pPr>
            <w:r w:rsidRPr="009941D8">
              <w:rPr>
                <w:color w:val="010000"/>
                <w:szCs w:val="26"/>
              </w:rPr>
              <w:t>Üye</w:t>
            </w:r>
          </w:p>
          <w:p w:rsidR="009941D8" w:rsidRPr="009941D8" w:rsidRDefault="009941D8" w:rsidP="009941D8">
            <w:pPr>
              <w:overflowPunct w:val="0"/>
              <w:autoSpaceDE w:val="0"/>
              <w:autoSpaceDN w:val="0"/>
              <w:spacing w:after="120"/>
              <w:jc w:val="center"/>
              <w:rPr>
                <w:color w:val="010000"/>
              </w:rPr>
            </w:pPr>
            <w:r w:rsidRPr="009941D8">
              <w:rPr>
                <w:color w:val="010000"/>
                <w:szCs w:val="26"/>
              </w:rPr>
              <w:t>Serdar ÖZGÜLDÜR</w:t>
            </w:r>
          </w:p>
        </w:tc>
        <w:tc>
          <w:tcPr>
            <w:tcW w:w="1667" w:type="pct"/>
            <w:tcMar>
              <w:top w:w="0" w:type="dxa"/>
              <w:left w:w="108" w:type="dxa"/>
              <w:bottom w:w="0" w:type="dxa"/>
              <w:right w:w="108" w:type="dxa"/>
            </w:tcMar>
            <w:hideMark/>
          </w:tcPr>
          <w:p w:rsidR="009941D8" w:rsidRPr="009941D8" w:rsidRDefault="009941D8" w:rsidP="009941D8">
            <w:pPr>
              <w:overflowPunct w:val="0"/>
              <w:autoSpaceDE w:val="0"/>
              <w:autoSpaceDN w:val="0"/>
              <w:spacing w:after="120"/>
              <w:jc w:val="center"/>
              <w:rPr>
                <w:color w:val="010000"/>
              </w:rPr>
            </w:pPr>
            <w:r w:rsidRPr="009941D8">
              <w:rPr>
                <w:color w:val="010000"/>
                <w:szCs w:val="26"/>
              </w:rPr>
              <w:t>Üye</w:t>
            </w:r>
          </w:p>
          <w:p w:rsidR="009941D8" w:rsidRPr="009941D8" w:rsidRDefault="009941D8" w:rsidP="009941D8">
            <w:pPr>
              <w:overflowPunct w:val="0"/>
              <w:autoSpaceDE w:val="0"/>
              <w:autoSpaceDN w:val="0"/>
              <w:spacing w:after="120"/>
              <w:jc w:val="center"/>
              <w:rPr>
                <w:color w:val="010000"/>
              </w:rPr>
            </w:pPr>
            <w:r w:rsidRPr="009941D8">
              <w:rPr>
                <w:color w:val="010000"/>
                <w:szCs w:val="26"/>
              </w:rPr>
              <w:t>Şevket APALAK</w:t>
            </w:r>
          </w:p>
        </w:tc>
      </w:tr>
      <w:bookmarkEnd w:id="0"/>
    </w:tbl>
    <w:p w:rsidR="009941D8" w:rsidRPr="009941D8" w:rsidRDefault="009941D8" w:rsidP="009941D8">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4890"/>
        <w:gridCol w:w="4890"/>
      </w:tblGrid>
      <w:tr w:rsidR="009941D8" w:rsidRPr="009941D8" w:rsidTr="009941D8">
        <w:trPr>
          <w:jc w:val="center"/>
        </w:trPr>
        <w:tc>
          <w:tcPr>
            <w:tcW w:w="2500" w:type="pct"/>
            <w:tcMar>
              <w:top w:w="0" w:type="dxa"/>
              <w:left w:w="108" w:type="dxa"/>
              <w:bottom w:w="0" w:type="dxa"/>
              <w:right w:w="108" w:type="dxa"/>
            </w:tcMar>
            <w:hideMark/>
          </w:tcPr>
          <w:p w:rsidR="009941D8" w:rsidRPr="009941D8" w:rsidRDefault="009941D8" w:rsidP="009941D8">
            <w:pPr>
              <w:overflowPunct w:val="0"/>
              <w:autoSpaceDE w:val="0"/>
              <w:autoSpaceDN w:val="0"/>
              <w:spacing w:after="120"/>
              <w:jc w:val="center"/>
              <w:rPr>
                <w:color w:val="010000"/>
              </w:rPr>
            </w:pPr>
            <w:r w:rsidRPr="009941D8">
              <w:rPr>
                <w:color w:val="010000"/>
                <w:szCs w:val="26"/>
              </w:rPr>
              <w:t>Üye</w:t>
            </w:r>
          </w:p>
          <w:p w:rsidR="009941D8" w:rsidRPr="009941D8" w:rsidRDefault="009941D8" w:rsidP="009941D8">
            <w:pPr>
              <w:overflowPunct w:val="0"/>
              <w:autoSpaceDE w:val="0"/>
              <w:autoSpaceDN w:val="0"/>
              <w:spacing w:after="120"/>
              <w:jc w:val="center"/>
              <w:rPr>
                <w:color w:val="010000"/>
              </w:rPr>
            </w:pPr>
            <w:proofErr w:type="spellStart"/>
            <w:r w:rsidRPr="009941D8">
              <w:rPr>
                <w:color w:val="010000"/>
                <w:szCs w:val="26"/>
              </w:rPr>
              <w:t>Serruh</w:t>
            </w:r>
            <w:proofErr w:type="spellEnd"/>
            <w:r w:rsidRPr="009941D8">
              <w:rPr>
                <w:color w:val="010000"/>
                <w:szCs w:val="26"/>
              </w:rPr>
              <w:t xml:space="preserve"> KALELİ</w:t>
            </w:r>
          </w:p>
        </w:tc>
        <w:tc>
          <w:tcPr>
            <w:tcW w:w="2500" w:type="pct"/>
            <w:tcMar>
              <w:top w:w="0" w:type="dxa"/>
              <w:left w:w="108" w:type="dxa"/>
              <w:bottom w:w="0" w:type="dxa"/>
              <w:right w:w="108" w:type="dxa"/>
            </w:tcMar>
            <w:hideMark/>
          </w:tcPr>
          <w:p w:rsidR="009941D8" w:rsidRPr="009941D8" w:rsidRDefault="009941D8" w:rsidP="009941D8">
            <w:pPr>
              <w:overflowPunct w:val="0"/>
              <w:autoSpaceDE w:val="0"/>
              <w:autoSpaceDN w:val="0"/>
              <w:spacing w:after="120"/>
              <w:jc w:val="center"/>
              <w:rPr>
                <w:color w:val="010000"/>
              </w:rPr>
            </w:pPr>
            <w:r w:rsidRPr="009941D8">
              <w:rPr>
                <w:color w:val="010000"/>
                <w:szCs w:val="26"/>
              </w:rPr>
              <w:t>Üye</w:t>
            </w:r>
          </w:p>
          <w:p w:rsidR="009941D8" w:rsidRPr="009941D8" w:rsidRDefault="009941D8" w:rsidP="009941D8">
            <w:pPr>
              <w:overflowPunct w:val="0"/>
              <w:autoSpaceDE w:val="0"/>
              <w:autoSpaceDN w:val="0"/>
              <w:spacing w:after="120"/>
              <w:jc w:val="center"/>
              <w:rPr>
                <w:color w:val="010000"/>
              </w:rPr>
            </w:pPr>
            <w:r w:rsidRPr="009941D8">
              <w:rPr>
                <w:color w:val="010000"/>
                <w:szCs w:val="26"/>
              </w:rPr>
              <w:t>Zehra Ayla PERKTAŞ</w:t>
            </w:r>
          </w:p>
        </w:tc>
      </w:tr>
    </w:tbl>
    <w:p w:rsidR="009941D8" w:rsidRPr="009941D8" w:rsidRDefault="009941D8" w:rsidP="009941D8">
      <w:pPr>
        <w:spacing w:after="200"/>
        <w:ind w:left="283" w:right="283" w:firstLine="709"/>
        <w:jc w:val="both"/>
        <w:rPr>
          <w:rFonts w:eastAsia="Times New Roman"/>
          <w:color w:val="010000"/>
        </w:rPr>
      </w:pPr>
    </w:p>
    <w:p w:rsidR="00BC1A9A" w:rsidRPr="009941D8" w:rsidRDefault="00047C88">
      <w:pPr>
        <w:rPr>
          <w:color w:val="010000"/>
        </w:rPr>
      </w:pPr>
    </w:p>
    <w:sectPr w:rsidR="00BC1A9A" w:rsidRPr="009941D8" w:rsidSect="009941D8">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7C88" w:rsidRDefault="00047C88" w:rsidP="009941D8">
      <w:r>
        <w:separator/>
      </w:r>
    </w:p>
  </w:endnote>
  <w:endnote w:type="continuationSeparator" w:id="0">
    <w:p w:rsidR="00047C88" w:rsidRDefault="00047C88" w:rsidP="00994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41D8" w:rsidRDefault="009941D8" w:rsidP="00565C6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9941D8" w:rsidRDefault="009941D8" w:rsidP="009941D8">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41D8" w:rsidRPr="009941D8" w:rsidRDefault="009941D8" w:rsidP="00565C62">
    <w:pPr>
      <w:pStyle w:val="AltBilgi"/>
      <w:framePr w:wrap="around" w:vAnchor="text" w:hAnchor="margin" w:xAlign="right" w:y="1"/>
      <w:rPr>
        <w:rStyle w:val="SayfaNumaras"/>
      </w:rPr>
    </w:pPr>
    <w:r w:rsidRPr="009941D8">
      <w:rPr>
        <w:rStyle w:val="SayfaNumaras"/>
      </w:rPr>
      <w:fldChar w:fldCharType="begin"/>
    </w:r>
    <w:r w:rsidRPr="009941D8">
      <w:rPr>
        <w:rStyle w:val="SayfaNumaras"/>
      </w:rPr>
      <w:instrText xml:space="preserve"> PAGE </w:instrText>
    </w:r>
    <w:r w:rsidRPr="009941D8">
      <w:rPr>
        <w:rStyle w:val="SayfaNumaras"/>
      </w:rPr>
      <w:fldChar w:fldCharType="separate"/>
    </w:r>
    <w:r w:rsidRPr="009941D8">
      <w:rPr>
        <w:rStyle w:val="SayfaNumaras"/>
        <w:noProof/>
      </w:rPr>
      <w:t>1</w:t>
    </w:r>
    <w:r w:rsidRPr="009941D8">
      <w:rPr>
        <w:rStyle w:val="SayfaNumaras"/>
      </w:rPr>
      <w:fldChar w:fldCharType="end"/>
    </w:r>
  </w:p>
  <w:p w:rsidR="009941D8" w:rsidRDefault="009941D8" w:rsidP="009941D8">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7C88" w:rsidRDefault="00047C88" w:rsidP="009941D8">
      <w:r>
        <w:separator/>
      </w:r>
    </w:p>
  </w:footnote>
  <w:footnote w:type="continuationSeparator" w:id="0">
    <w:p w:rsidR="00047C88" w:rsidRDefault="00047C88" w:rsidP="009941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41D8" w:rsidRPr="009941D8" w:rsidRDefault="009941D8" w:rsidP="009941D8">
    <w:pPr>
      <w:pStyle w:val="stBilgi"/>
      <w:rPr>
        <w:b/>
      </w:rPr>
    </w:pPr>
    <w:r w:rsidRPr="009941D8">
      <w:rPr>
        <w:b/>
      </w:rPr>
      <w:t>Esas Sayısı:2008/23 (Siyasî Parti Malî Denetimi)</w:t>
    </w:r>
  </w:p>
  <w:p w:rsidR="009941D8" w:rsidRDefault="009941D8" w:rsidP="009941D8">
    <w:pPr>
      <w:pStyle w:val="stBilgi"/>
      <w:rPr>
        <w:b/>
      </w:rPr>
    </w:pPr>
    <w:r>
      <w:rPr>
        <w:b/>
      </w:rPr>
      <w:t>Karar Sayısı:2009/42</w:t>
    </w:r>
  </w:p>
  <w:p w:rsidR="009941D8" w:rsidRPr="009941D8" w:rsidRDefault="009941D8" w:rsidP="009941D8">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1D8"/>
    <w:rsid w:val="00041752"/>
    <w:rsid w:val="00047C88"/>
    <w:rsid w:val="00065B42"/>
    <w:rsid w:val="000E45EB"/>
    <w:rsid w:val="000F1EDB"/>
    <w:rsid w:val="00124B66"/>
    <w:rsid w:val="00286DD9"/>
    <w:rsid w:val="00347E8D"/>
    <w:rsid w:val="00503F1E"/>
    <w:rsid w:val="00821D56"/>
    <w:rsid w:val="008D57F7"/>
    <w:rsid w:val="00947847"/>
    <w:rsid w:val="009941D8"/>
    <w:rsid w:val="00B04393"/>
    <w:rsid w:val="00B52EFE"/>
    <w:rsid w:val="00DE74CD"/>
    <w:rsid w:val="00EE26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6FD426-29B5-43EC-8643-F3C6B3134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tr-T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41D8"/>
    <w:pPr>
      <w:spacing w:line="240" w:lineRule="auto"/>
    </w:pPr>
    <w:rPr>
      <w:rFonts w:ascii="Times New Roman" w:eastAsiaTheme="minorEastAsia" w:hAnsi="Times New Roman" w:cs="Times New Roman"/>
      <w:sz w:val="24"/>
      <w:szCs w:val="24"/>
      <w:lang w:eastAsia="tr-TR"/>
    </w:rPr>
  </w:style>
  <w:style w:type="paragraph" w:styleId="Balk1">
    <w:name w:val="heading 1"/>
    <w:basedOn w:val="Normal"/>
    <w:next w:val="Normal"/>
    <w:link w:val="Balk1Char"/>
    <w:uiPriority w:val="9"/>
    <w:qFormat/>
    <w:rsid w:val="00041752"/>
    <w:pPr>
      <w:keepNext/>
      <w:keepLines/>
      <w:spacing w:before="400" w:after="120" w:line="276" w:lineRule="auto"/>
      <w:outlineLvl w:val="0"/>
    </w:pPr>
    <w:rPr>
      <w:rFonts w:ascii="Arial" w:eastAsia="Arial" w:hAnsi="Arial" w:cs="Arial"/>
      <w:sz w:val="40"/>
      <w:szCs w:val="40"/>
      <w:lang w:eastAsia="en-US"/>
    </w:rPr>
  </w:style>
  <w:style w:type="paragraph" w:styleId="Balk2">
    <w:name w:val="heading 2"/>
    <w:basedOn w:val="Normal"/>
    <w:next w:val="Normal"/>
    <w:link w:val="Balk2Char"/>
    <w:uiPriority w:val="9"/>
    <w:semiHidden/>
    <w:unhideWhenUsed/>
    <w:qFormat/>
    <w:rsid w:val="00041752"/>
    <w:pPr>
      <w:keepNext/>
      <w:keepLines/>
      <w:spacing w:before="360" w:after="120" w:line="276" w:lineRule="auto"/>
      <w:outlineLvl w:val="1"/>
    </w:pPr>
    <w:rPr>
      <w:rFonts w:ascii="Arial" w:eastAsia="Arial" w:hAnsi="Arial" w:cs="Arial"/>
      <w:sz w:val="32"/>
      <w:szCs w:val="32"/>
      <w:lang w:eastAsia="en-US"/>
    </w:rPr>
  </w:style>
  <w:style w:type="paragraph" w:styleId="Balk3">
    <w:name w:val="heading 3"/>
    <w:basedOn w:val="Normal"/>
    <w:next w:val="Normal"/>
    <w:link w:val="Balk3Char"/>
    <w:uiPriority w:val="9"/>
    <w:semiHidden/>
    <w:unhideWhenUsed/>
    <w:qFormat/>
    <w:rsid w:val="00041752"/>
    <w:pPr>
      <w:keepNext/>
      <w:keepLines/>
      <w:spacing w:before="320" w:after="80" w:line="276" w:lineRule="auto"/>
      <w:outlineLvl w:val="2"/>
    </w:pPr>
    <w:rPr>
      <w:rFonts w:ascii="Arial" w:eastAsia="Arial" w:hAnsi="Arial" w:cs="Arial"/>
      <w:color w:val="434343"/>
      <w:sz w:val="28"/>
      <w:szCs w:val="28"/>
      <w:lang w:eastAsia="en-US"/>
    </w:rPr>
  </w:style>
  <w:style w:type="paragraph" w:styleId="Balk4">
    <w:name w:val="heading 4"/>
    <w:basedOn w:val="Normal"/>
    <w:next w:val="Normal"/>
    <w:link w:val="Balk4Char"/>
    <w:uiPriority w:val="9"/>
    <w:unhideWhenUsed/>
    <w:qFormat/>
    <w:rsid w:val="00041752"/>
    <w:pPr>
      <w:keepNext/>
      <w:keepLines/>
      <w:spacing w:before="280" w:after="80" w:line="276" w:lineRule="auto"/>
      <w:outlineLvl w:val="3"/>
    </w:pPr>
    <w:rPr>
      <w:rFonts w:ascii="Arial" w:eastAsia="Arial" w:hAnsi="Arial" w:cs="Arial"/>
      <w:color w:val="666666"/>
      <w:lang w:eastAsia="en-US"/>
    </w:rPr>
  </w:style>
  <w:style w:type="paragraph" w:styleId="Balk5">
    <w:name w:val="heading 5"/>
    <w:basedOn w:val="Normal"/>
    <w:next w:val="Normal"/>
    <w:link w:val="Balk5Char"/>
    <w:uiPriority w:val="9"/>
    <w:semiHidden/>
    <w:unhideWhenUsed/>
    <w:qFormat/>
    <w:rsid w:val="00041752"/>
    <w:pPr>
      <w:keepNext/>
      <w:keepLines/>
      <w:spacing w:before="240" w:after="80" w:line="276" w:lineRule="auto"/>
      <w:outlineLvl w:val="4"/>
    </w:pPr>
    <w:rPr>
      <w:rFonts w:ascii="Arial" w:eastAsia="Arial" w:hAnsi="Arial" w:cs="Arial"/>
      <w:color w:val="666666"/>
      <w:sz w:val="22"/>
      <w:szCs w:val="22"/>
      <w:lang w:eastAsia="en-US"/>
    </w:rPr>
  </w:style>
  <w:style w:type="paragraph" w:styleId="Balk6">
    <w:name w:val="heading 6"/>
    <w:basedOn w:val="Normal"/>
    <w:next w:val="Normal"/>
    <w:link w:val="Balk6Char"/>
    <w:uiPriority w:val="9"/>
    <w:semiHidden/>
    <w:unhideWhenUsed/>
    <w:qFormat/>
    <w:rsid w:val="00041752"/>
    <w:pPr>
      <w:keepNext/>
      <w:keepLines/>
      <w:spacing w:before="240" w:after="80" w:line="276" w:lineRule="auto"/>
      <w:outlineLvl w:val="5"/>
    </w:pPr>
    <w:rPr>
      <w:rFonts w:ascii="Arial" w:eastAsia="Arial" w:hAnsi="Arial" w:cs="Arial"/>
      <w:i/>
      <w:color w:val="666666"/>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41752"/>
    <w:rPr>
      <w:sz w:val="40"/>
      <w:szCs w:val="40"/>
    </w:rPr>
  </w:style>
  <w:style w:type="character" w:customStyle="1" w:styleId="Balk2Char">
    <w:name w:val="Başlık 2 Char"/>
    <w:basedOn w:val="VarsaylanParagrafYazTipi"/>
    <w:link w:val="Balk2"/>
    <w:uiPriority w:val="9"/>
    <w:semiHidden/>
    <w:rsid w:val="00041752"/>
    <w:rPr>
      <w:sz w:val="32"/>
      <w:szCs w:val="32"/>
    </w:rPr>
  </w:style>
  <w:style w:type="character" w:customStyle="1" w:styleId="Balk3Char">
    <w:name w:val="Başlık 3 Char"/>
    <w:basedOn w:val="VarsaylanParagrafYazTipi"/>
    <w:link w:val="Balk3"/>
    <w:uiPriority w:val="9"/>
    <w:semiHidden/>
    <w:rsid w:val="00041752"/>
    <w:rPr>
      <w:color w:val="434343"/>
      <w:sz w:val="28"/>
      <w:szCs w:val="28"/>
    </w:rPr>
  </w:style>
  <w:style w:type="character" w:customStyle="1" w:styleId="Balk4Char">
    <w:name w:val="Başlık 4 Char"/>
    <w:basedOn w:val="VarsaylanParagrafYazTipi"/>
    <w:link w:val="Balk4"/>
    <w:uiPriority w:val="9"/>
    <w:rsid w:val="00041752"/>
    <w:rPr>
      <w:color w:val="666666"/>
      <w:sz w:val="24"/>
      <w:szCs w:val="24"/>
    </w:rPr>
  </w:style>
  <w:style w:type="character" w:customStyle="1" w:styleId="Balk5Char">
    <w:name w:val="Başlık 5 Char"/>
    <w:basedOn w:val="VarsaylanParagrafYazTipi"/>
    <w:link w:val="Balk5"/>
    <w:uiPriority w:val="9"/>
    <w:semiHidden/>
    <w:rsid w:val="00041752"/>
    <w:rPr>
      <w:color w:val="666666"/>
    </w:rPr>
  </w:style>
  <w:style w:type="character" w:customStyle="1" w:styleId="Balk6Char">
    <w:name w:val="Başlık 6 Char"/>
    <w:basedOn w:val="VarsaylanParagrafYazTipi"/>
    <w:link w:val="Balk6"/>
    <w:uiPriority w:val="9"/>
    <w:semiHidden/>
    <w:rsid w:val="00041752"/>
    <w:rPr>
      <w:i/>
      <w:color w:val="666666"/>
    </w:rPr>
  </w:style>
  <w:style w:type="paragraph" w:styleId="KonuBal">
    <w:name w:val="Title"/>
    <w:basedOn w:val="Normal"/>
    <w:next w:val="Normal"/>
    <w:link w:val="KonuBalChar"/>
    <w:uiPriority w:val="10"/>
    <w:qFormat/>
    <w:rsid w:val="00041752"/>
    <w:pPr>
      <w:keepNext/>
      <w:keepLines/>
      <w:spacing w:after="60" w:line="276" w:lineRule="auto"/>
    </w:pPr>
    <w:rPr>
      <w:rFonts w:ascii="Arial" w:eastAsia="Arial" w:hAnsi="Arial" w:cs="Arial"/>
      <w:sz w:val="52"/>
      <w:szCs w:val="52"/>
      <w:lang w:eastAsia="en-US"/>
    </w:rPr>
  </w:style>
  <w:style w:type="character" w:customStyle="1" w:styleId="KonuBalChar">
    <w:name w:val="Konu Başlığı Char"/>
    <w:basedOn w:val="VarsaylanParagrafYazTipi"/>
    <w:link w:val="KonuBal"/>
    <w:uiPriority w:val="10"/>
    <w:rsid w:val="00041752"/>
    <w:rPr>
      <w:sz w:val="52"/>
      <w:szCs w:val="52"/>
    </w:rPr>
  </w:style>
  <w:style w:type="paragraph" w:styleId="Altyaz">
    <w:name w:val="Subtitle"/>
    <w:basedOn w:val="Normal"/>
    <w:next w:val="Normal"/>
    <w:link w:val="AltyazChar"/>
    <w:uiPriority w:val="11"/>
    <w:qFormat/>
    <w:rsid w:val="00041752"/>
    <w:pPr>
      <w:keepNext/>
      <w:keepLines/>
      <w:spacing w:after="320" w:line="276" w:lineRule="auto"/>
    </w:pPr>
    <w:rPr>
      <w:rFonts w:ascii="Arial" w:eastAsia="Arial" w:hAnsi="Arial" w:cs="Arial"/>
      <w:color w:val="666666"/>
      <w:sz w:val="30"/>
      <w:szCs w:val="30"/>
      <w:lang w:eastAsia="en-US"/>
    </w:rPr>
  </w:style>
  <w:style w:type="character" w:customStyle="1" w:styleId="AltyazChar">
    <w:name w:val="Altyazı Char"/>
    <w:basedOn w:val="VarsaylanParagrafYazTipi"/>
    <w:link w:val="Altyaz"/>
    <w:uiPriority w:val="11"/>
    <w:rsid w:val="00041752"/>
    <w:rPr>
      <w:color w:val="666666"/>
      <w:sz w:val="30"/>
      <w:szCs w:val="30"/>
    </w:rPr>
  </w:style>
  <w:style w:type="paragraph" w:styleId="ListeParagraf">
    <w:name w:val="List Paragraph"/>
    <w:basedOn w:val="Normal"/>
    <w:uiPriority w:val="34"/>
    <w:qFormat/>
    <w:rsid w:val="00041752"/>
    <w:pPr>
      <w:spacing w:line="276" w:lineRule="auto"/>
      <w:ind w:left="720"/>
      <w:contextualSpacing/>
    </w:pPr>
    <w:rPr>
      <w:rFonts w:ascii="Arial" w:eastAsia="Arial" w:hAnsi="Arial" w:cs="Arial"/>
      <w:sz w:val="22"/>
      <w:szCs w:val="22"/>
      <w:lang w:eastAsia="en-US"/>
    </w:rPr>
  </w:style>
  <w:style w:type="paragraph" w:styleId="GvdeMetni2">
    <w:name w:val="Body Text 2"/>
    <w:basedOn w:val="Normal"/>
    <w:link w:val="GvdeMetni2Char"/>
    <w:uiPriority w:val="99"/>
    <w:semiHidden/>
    <w:unhideWhenUsed/>
    <w:rsid w:val="009941D8"/>
    <w:pPr>
      <w:spacing w:before="100" w:beforeAutospacing="1" w:after="100" w:afterAutospacing="1" w:line="288" w:lineRule="atLeast"/>
      <w:ind w:firstLine="720"/>
    </w:pPr>
    <w:rPr>
      <w:color w:val="000000"/>
    </w:rPr>
  </w:style>
  <w:style w:type="character" w:customStyle="1" w:styleId="GvdeMetni2Char">
    <w:name w:val="Gövde Metni 2 Char"/>
    <w:basedOn w:val="VarsaylanParagrafYazTipi"/>
    <w:link w:val="GvdeMetni2"/>
    <w:uiPriority w:val="99"/>
    <w:semiHidden/>
    <w:rsid w:val="009941D8"/>
    <w:rPr>
      <w:rFonts w:ascii="Times New Roman" w:eastAsiaTheme="minorEastAsia" w:hAnsi="Times New Roman" w:cs="Times New Roman"/>
      <w:color w:val="000000"/>
      <w:sz w:val="24"/>
      <w:szCs w:val="24"/>
      <w:lang w:eastAsia="tr-TR"/>
    </w:rPr>
  </w:style>
  <w:style w:type="paragraph" w:customStyle="1" w:styleId="msobodytextindent">
    <w:name w:val="msobodytextindent"/>
    <w:basedOn w:val="Normal"/>
    <w:rsid w:val="009941D8"/>
    <w:pPr>
      <w:spacing w:before="100" w:beforeAutospacing="1" w:after="100" w:afterAutospacing="1" w:line="288" w:lineRule="atLeast"/>
      <w:ind w:firstLine="720"/>
    </w:pPr>
    <w:rPr>
      <w:color w:val="000000"/>
    </w:rPr>
  </w:style>
  <w:style w:type="paragraph" w:customStyle="1" w:styleId="bodytext2">
    <w:name w:val="bodytext2"/>
    <w:basedOn w:val="Normal"/>
    <w:rsid w:val="009941D8"/>
    <w:pPr>
      <w:spacing w:before="100" w:beforeAutospacing="1" w:after="100" w:afterAutospacing="1" w:line="288" w:lineRule="atLeast"/>
      <w:ind w:firstLine="720"/>
    </w:pPr>
    <w:rPr>
      <w:color w:val="000000"/>
    </w:rPr>
  </w:style>
  <w:style w:type="paragraph" w:styleId="GvdeMetni">
    <w:name w:val="Body Text"/>
    <w:basedOn w:val="Normal"/>
    <w:link w:val="GvdeMetniChar"/>
    <w:uiPriority w:val="99"/>
    <w:semiHidden/>
    <w:unhideWhenUsed/>
    <w:rsid w:val="009941D8"/>
    <w:pPr>
      <w:spacing w:before="100" w:beforeAutospacing="1" w:after="100" w:afterAutospacing="1" w:line="288" w:lineRule="atLeast"/>
      <w:ind w:firstLine="720"/>
    </w:pPr>
    <w:rPr>
      <w:color w:val="000000"/>
    </w:rPr>
  </w:style>
  <w:style w:type="character" w:customStyle="1" w:styleId="GvdeMetniChar">
    <w:name w:val="Gövde Metni Char"/>
    <w:basedOn w:val="VarsaylanParagrafYazTipi"/>
    <w:link w:val="GvdeMetni"/>
    <w:uiPriority w:val="99"/>
    <w:semiHidden/>
    <w:rsid w:val="009941D8"/>
    <w:rPr>
      <w:rFonts w:ascii="Times New Roman" w:eastAsiaTheme="minorEastAsia" w:hAnsi="Times New Roman" w:cs="Times New Roman"/>
      <w:color w:val="000000"/>
      <w:sz w:val="24"/>
      <w:szCs w:val="24"/>
      <w:lang w:eastAsia="tr-TR"/>
    </w:rPr>
  </w:style>
  <w:style w:type="paragraph" w:styleId="stBilgi">
    <w:name w:val="header"/>
    <w:basedOn w:val="Normal"/>
    <w:link w:val="stBilgiChar"/>
    <w:uiPriority w:val="99"/>
    <w:unhideWhenUsed/>
    <w:rsid w:val="009941D8"/>
    <w:pPr>
      <w:tabs>
        <w:tab w:val="center" w:pos="4536"/>
        <w:tab w:val="right" w:pos="9072"/>
      </w:tabs>
    </w:pPr>
  </w:style>
  <w:style w:type="character" w:customStyle="1" w:styleId="stBilgiChar">
    <w:name w:val="Üst Bilgi Char"/>
    <w:basedOn w:val="VarsaylanParagrafYazTipi"/>
    <w:link w:val="stBilgi"/>
    <w:uiPriority w:val="99"/>
    <w:rsid w:val="009941D8"/>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9941D8"/>
    <w:pPr>
      <w:tabs>
        <w:tab w:val="center" w:pos="4536"/>
        <w:tab w:val="right" w:pos="9072"/>
      </w:tabs>
    </w:pPr>
  </w:style>
  <w:style w:type="character" w:customStyle="1" w:styleId="AltBilgiChar">
    <w:name w:val="Alt Bilgi Char"/>
    <w:basedOn w:val="VarsaylanParagrafYazTipi"/>
    <w:link w:val="AltBilgi"/>
    <w:uiPriority w:val="99"/>
    <w:rsid w:val="009941D8"/>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994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Özel 1">
      <a:dk1>
        <a:sysClr val="windowText" lastClr="000000"/>
      </a:dk1>
      <a:lt1>
        <a:sysClr val="window" lastClr="FFFFFF"/>
      </a:lt1>
      <a:dk2>
        <a:srgbClr val="000000"/>
      </a:dk2>
      <a:lt2>
        <a:srgbClr val="FFFFFF"/>
      </a:lt2>
      <a:accent1>
        <a:srgbClr val="FFFFFF"/>
      </a:accent1>
      <a:accent2>
        <a:srgbClr val="FFCC00"/>
      </a:accent2>
      <a:accent3>
        <a:srgbClr val="E68102"/>
      </a:accent3>
      <a:accent4>
        <a:srgbClr val="27C760"/>
      </a:accent4>
      <a:accent5>
        <a:srgbClr val="E5629E"/>
      </a:accent5>
      <a:accent6>
        <a:srgbClr val="9D7EBC"/>
      </a:accent6>
      <a:hlink>
        <a:srgbClr val="0072FF"/>
      </a:hlink>
      <a:folHlink>
        <a:srgbClr val="9D7EBC"/>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1108</Words>
  <Characters>6321</Characters>
  <Application>Microsoft Office Word</Application>
  <DocSecurity>0</DocSecurity>
  <Lines>52</Lines>
  <Paragraphs>14</Paragraphs>
  <ScaleCrop>false</ScaleCrop>
  <Company/>
  <LinksUpToDate>false</LinksUpToDate>
  <CharactersWithSpaces>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ÖZDEMIR</dc:creator>
  <cp:keywords/>
  <dc:description/>
  <cp:lastModifiedBy>Sinan ÖZDEMIR</cp:lastModifiedBy>
  <cp:revision>1</cp:revision>
  <dcterms:created xsi:type="dcterms:W3CDTF">2020-06-15T12:40:00Z</dcterms:created>
  <dcterms:modified xsi:type="dcterms:W3CDTF">2020-06-15T12:40:00Z</dcterms:modified>
</cp:coreProperties>
</file>