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F6D54" w:rsidRDefault="002F6D54" w:rsidP="002F6D54">
      <w:pPr>
        <w:spacing w:after="200"/>
        <w:ind w:left="283" w:right="283"/>
        <w:jc w:val="center"/>
        <w:rPr>
          <w:b/>
          <w:bCs/>
          <w:caps/>
          <w:color w:val="010000"/>
          <w:szCs w:val="26"/>
        </w:rPr>
      </w:pPr>
      <w:r w:rsidRPr="002F6D54">
        <w:rPr>
          <w:b/>
          <w:bCs/>
          <w:caps/>
          <w:color w:val="010000"/>
          <w:szCs w:val="26"/>
        </w:rPr>
        <w:t>ANAYASA MAHKEMESİ KARARI</w:t>
      </w:r>
    </w:p>
    <w:p w:rsidR="002F6D54" w:rsidRPr="002F6D54" w:rsidRDefault="002F6D54" w:rsidP="002F6D54">
      <w:pPr>
        <w:spacing w:after="200"/>
        <w:ind w:left="283" w:right="283" w:firstLine="567"/>
        <w:jc w:val="center"/>
        <w:rPr>
          <w:b/>
          <w:caps/>
          <w:color w:val="010000"/>
        </w:rPr>
      </w:pPr>
    </w:p>
    <w:p w:rsidR="002F6D54" w:rsidRDefault="002F6D54" w:rsidP="002F6D54">
      <w:pPr>
        <w:rPr>
          <w:b/>
          <w:bCs/>
          <w:color w:val="010000"/>
          <w:sz w:val="26"/>
          <w:szCs w:val="26"/>
        </w:rPr>
      </w:pPr>
      <w:r>
        <w:rPr>
          <w:b/>
          <w:bCs/>
          <w:color w:val="010000"/>
          <w:sz w:val="26"/>
          <w:szCs w:val="26"/>
        </w:rPr>
        <w:t>Esas Sayısı:2007/41 (Siyasî Parti Malî Denetimi)</w:t>
      </w:r>
    </w:p>
    <w:p w:rsidR="002F6D54" w:rsidRDefault="002F6D54" w:rsidP="002F6D54">
      <w:pPr>
        <w:rPr>
          <w:b/>
          <w:color w:val="010000"/>
        </w:rPr>
      </w:pPr>
      <w:r>
        <w:rPr>
          <w:b/>
          <w:color w:val="010000"/>
        </w:rPr>
        <w:t>Karar Sayısı:2008/75</w:t>
      </w:r>
    </w:p>
    <w:p w:rsidR="002F6D54" w:rsidRDefault="002F6D54" w:rsidP="002F6D54">
      <w:pPr>
        <w:rPr>
          <w:b/>
          <w:color w:val="010000"/>
        </w:rPr>
      </w:pPr>
      <w:r>
        <w:rPr>
          <w:b/>
          <w:color w:val="010000"/>
        </w:rPr>
        <w:t>Karar Günü:29.4.2008</w:t>
      </w:r>
    </w:p>
    <w:p w:rsidR="002F6D54" w:rsidRDefault="002F6D54" w:rsidP="002F6D54">
      <w:pPr>
        <w:rPr>
          <w:b/>
          <w:color w:val="010000"/>
        </w:rPr>
      </w:pPr>
      <w:r>
        <w:rPr>
          <w:b/>
          <w:color w:val="010000"/>
        </w:rPr>
        <w:t>R.G. Tarih-Sayı:17.05.2008-26879</w:t>
      </w:r>
    </w:p>
    <w:p w:rsidR="002F6D54" w:rsidRPr="002F6D54" w:rsidRDefault="002F6D54" w:rsidP="002F6D54">
      <w:pPr>
        <w:rPr>
          <w:b/>
          <w:color w:val="010000"/>
        </w:rPr>
      </w:pPr>
    </w:p>
    <w:p w:rsidR="002F6D54" w:rsidRPr="002F6D54" w:rsidRDefault="002F6D54" w:rsidP="002F6D54">
      <w:pPr>
        <w:spacing w:after="200"/>
        <w:ind w:left="283" w:right="283" w:firstLine="567"/>
        <w:jc w:val="both"/>
        <w:rPr>
          <w:color w:val="010000"/>
        </w:rPr>
      </w:pPr>
      <w:r w:rsidRPr="002F6D54">
        <w:rPr>
          <w:b/>
          <w:bCs/>
          <w:color w:val="010000"/>
          <w:sz w:val="26"/>
          <w:szCs w:val="26"/>
        </w:rPr>
        <w:t>I- MALİ DENETİMİN KONUSU</w:t>
      </w:r>
    </w:p>
    <w:p w:rsidR="002F6D54" w:rsidRPr="002F6D54" w:rsidRDefault="002F6D54" w:rsidP="002F6D54">
      <w:pPr>
        <w:spacing w:after="200"/>
        <w:ind w:left="283" w:right="283" w:firstLine="567"/>
        <w:jc w:val="both"/>
        <w:rPr>
          <w:color w:val="010000"/>
        </w:rPr>
      </w:pPr>
      <w:r w:rsidRPr="002F6D54">
        <w:rPr>
          <w:color w:val="010000"/>
          <w:sz w:val="26"/>
          <w:szCs w:val="26"/>
        </w:rPr>
        <w:t xml:space="preserve">Katılımcı Demokrasi Partisi'nin 2006 yılı </w:t>
      </w:r>
      <w:proofErr w:type="spellStart"/>
      <w:r w:rsidRPr="002F6D54">
        <w:rPr>
          <w:color w:val="010000"/>
          <w:sz w:val="26"/>
          <w:szCs w:val="26"/>
        </w:rPr>
        <w:t>kesinhesabının</w:t>
      </w:r>
      <w:proofErr w:type="spellEnd"/>
      <w:r w:rsidRPr="002F6D54">
        <w:rPr>
          <w:color w:val="010000"/>
          <w:sz w:val="26"/>
          <w:szCs w:val="26"/>
        </w:rPr>
        <w:t xml:space="preserve"> incelenmesidir.</w:t>
      </w:r>
    </w:p>
    <w:p w:rsidR="002F6D54" w:rsidRPr="002F6D54" w:rsidRDefault="002F6D54" w:rsidP="002F6D54">
      <w:pPr>
        <w:spacing w:after="200"/>
        <w:ind w:left="283" w:right="283" w:firstLine="567"/>
        <w:jc w:val="both"/>
        <w:rPr>
          <w:color w:val="010000"/>
        </w:rPr>
      </w:pPr>
      <w:r w:rsidRPr="002F6D54">
        <w:rPr>
          <w:b/>
          <w:bCs/>
          <w:color w:val="010000"/>
          <w:sz w:val="26"/>
          <w:szCs w:val="26"/>
        </w:rPr>
        <w:t xml:space="preserve">II- İLK İNCELEME </w:t>
      </w:r>
    </w:p>
    <w:p w:rsidR="002F6D54" w:rsidRPr="002F6D54" w:rsidRDefault="002F6D54" w:rsidP="002F6D54">
      <w:pPr>
        <w:spacing w:after="200"/>
        <w:ind w:left="283" w:right="283" w:firstLine="567"/>
        <w:jc w:val="both"/>
        <w:rPr>
          <w:color w:val="010000"/>
        </w:rPr>
      </w:pPr>
      <w:r w:rsidRPr="002F6D54">
        <w:rPr>
          <w:color w:val="010000"/>
          <w:sz w:val="26"/>
          <w:szCs w:val="26"/>
        </w:rPr>
        <w:t xml:space="preserve">Katılımcı Demokrasi Partisi'nin 2006 yılı </w:t>
      </w:r>
      <w:proofErr w:type="spellStart"/>
      <w:r w:rsidRPr="002F6D54">
        <w:rPr>
          <w:color w:val="010000"/>
          <w:sz w:val="26"/>
          <w:szCs w:val="26"/>
        </w:rPr>
        <w:t>kesinhesabının</w:t>
      </w:r>
      <w:proofErr w:type="spellEnd"/>
      <w:r w:rsidRPr="002F6D54">
        <w:rPr>
          <w:color w:val="010000"/>
          <w:sz w:val="26"/>
          <w:szCs w:val="26"/>
        </w:rPr>
        <w:t xml:space="preserve"> incelenmesi sonucunda; </w:t>
      </w:r>
    </w:p>
    <w:p w:rsidR="002F6D54" w:rsidRPr="002F6D54" w:rsidRDefault="002F6D54" w:rsidP="002F6D54">
      <w:pPr>
        <w:spacing w:after="200"/>
        <w:ind w:left="283" w:right="283" w:firstLine="567"/>
        <w:jc w:val="both"/>
        <w:rPr>
          <w:color w:val="010000"/>
        </w:rPr>
      </w:pPr>
      <w:r w:rsidRPr="002F6D54">
        <w:rPr>
          <w:color w:val="010000"/>
          <w:sz w:val="26"/>
          <w:szCs w:val="26"/>
        </w:rPr>
        <w:t>'Dosyada eksiklik bulunmadığından işin esasının incelenmesine oybirliğiyle' karar verilmiştir.</w:t>
      </w:r>
    </w:p>
    <w:p w:rsidR="002F6D54" w:rsidRPr="002F6D54" w:rsidRDefault="002F6D54" w:rsidP="002F6D54">
      <w:pPr>
        <w:spacing w:after="200"/>
        <w:ind w:left="283" w:right="283" w:firstLine="567"/>
        <w:jc w:val="both"/>
        <w:rPr>
          <w:color w:val="010000"/>
        </w:rPr>
      </w:pPr>
      <w:r w:rsidRPr="002F6D54">
        <w:rPr>
          <w:b/>
          <w:bCs/>
          <w:color w:val="010000"/>
          <w:sz w:val="26"/>
          <w:szCs w:val="26"/>
        </w:rPr>
        <w:t>III- ESASIN İNCELENMESİ</w:t>
      </w:r>
    </w:p>
    <w:p w:rsidR="002F6D54" w:rsidRPr="002F6D54" w:rsidRDefault="002F6D54" w:rsidP="002F6D54">
      <w:pPr>
        <w:spacing w:after="200"/>
        <w:ind w:left="283" w:right="283" w:firstLine="567"/>
        <w:jc w:val="both"/>
        <w:rPr>
          <w:color w:val="010000"/>
        </w:rPr>
      </w:pPr>
      <w:r w:rsidRPr="002F6D54">
        <w:rPr>
          <w:color w:val="010000"/>
          <w:sz w:val="26"/>
          <w:szCs w:val="26"/>
        </w:rPr>
        <w:t>Parti'nin Anayasa Mahkemesi'ne verdiği 2006 yılına ilişkin belgeler üzerinde yapılan inceleme sonuçlarını içeren esas inceleme raporu, Anayasa ve 2949 sayılı Anayasa Mahkemesinin Kuruluşu ve Yargılama Usulleri Hakkında Kanun ile 2820 sayılı Siyasî Partiler Kanunu'nun ilgili kuralları, bunların gerekçeleri ve diğer yasama belgeleri okunup incelendikten sonra gereği görüşülüp düşünüldü:</w:t>
      </w:r>
    </w:p>
    <w:p w:rsidR="002F6D54" w:rsidRPr="002F6D54" w:rsidRDefault="002F6D54" w:rsidP="002F6D54">
      <w:pPr>
        <w:spacing w:after="200"/>
        <w:ind w:left="283" w:right="283" w:firstLine="567"/>
        <w:jc w:val="both"/>
        <w:rPr>
          <w:color w:val="010000"/>
        </w:rPr>
      </w:pPr>
      <w:r w:rsidRPr="002F6D54">
        <w:rPr>
          <w:color w:val="010000"/>
          <w:sz w:val="26"/>
          <w:szCs w:val="26"/>
        </w:rPr>
        <w:t xml:space="preserve">Sunulan belgelerden Katılımcı Demokrasi Partisi'nin 2006 yılında herhangi bir gelir ve giderinin bulunmadığı anlaşıldığından, Katılımcı Demokrasi Partisi'nin 2006 yılı </w:t>
      </w:r>
      <w:proofErr w:type="spellStart"/>
      <w:r w:rsidRPr="002F6D54">
        <w:rPr>
          <w:color w:val="010000"/>
          <w:sz w:val="26"/>
          <w:szCs w:val="26"/>
        </w:rPr>
        <w:t>kesinhesabının</w:t>
      </w:r>
      <w:proofErr w:type="spellEnd"/>
      <w:r w:rsidRPr="002F6D54">
        <w:rPr>
          <w:color w:val="010000"/>
          <w:sz w:val="26"/>
          <w:szCs w:val="26"/>
        </w:rPr>
        <w:t xml:space="preserve"> eldeki bilgi ve belgelere göre 2820 sayılı Siyasî Partiler Kanunu'na uygun olduğu sonucuna varılmıştır.</w:t>
      </w:r>
    </w:p>
    <w:p w:rsidR="002F6D54" w:rsidRPr="002F6D54" w:rsidRDefault="002F6D54" w:rsidP="002F6D54">
      <w:pPr>
        <w:overflowPunct w:val="0"/>
        <w:autoSpaceDE w:val="0"/>
        <w:autoSpaceDN w:val="0"/>
        <w:spacing w:after="200"/>
        <w:ind w:left="283" w:right="283" w:firstLine="567"/>
        <w:jc w:val="both"/>
        <w:rPr>
          <w:color w:val="010000"/>
        </w:rPr>
      </w:pPr>
      <w:r w:rsidRPr="002F6D54">
        <w:rPr>
          <w:b/>
          <w:bCs/>
          <w:color w:val="010000"/>
          <w:sz w:val="26"/>
          <w:szCs w:val="26"/>
        </w:rPr>
        <w:t>IV-SONUÇ</w:t>
      </w:r>
    </w:p>
    <w:p w:rsidR="002F6D54" w:rsidRPr="002F6D54" w:rsidRDefault="002F6D54" w:rsidP="002F6D54">
      <w:pPr>
        <w:spacing w:after="200"/>
        <w:ind w:left="283" w:right="283" w:firstLine="567"/>
        <w:jc w:val="both"/>
        <w:rPr>
          <w:color w:val="010000"/>
        </w:rPr>
      </w:pPr>
      <w:r w:rsidRPr="002F6D54">
        <w:rPr>
          <w:color w:val="010000"/>
          <w:sz w:val="26"/>
          <w:szCs w:val="26"/>
        </w:rPr>
        <w:t xml:space="preserve">1- Katılımcı Demokrasi Partisi'nin 2006 yılı </w:t>
      </w:r>
      <w:proofErr w:type="spellStart"/>
      <w:r w:rsidRPr="002F6D54">
        <w:rPr>
          <w:color w:val="010000"/>
          <w:sz w:val="26"/>
          <w:szCs w:val="26"/>
        </w:rPr>
        <w:t>kesinhesabının</w:t>
      </w:r>
      <w:proofErr w:type="spellEnd"/>
      <w:r w:rsidRPr="002F6D54">
        <w:rPr>
          <w:color w:val="010000"/>
          <w:sz w:val="26"/>
          <w:szCs w:val="26"/>
        </w:rPr>
        <w:t xml:space="preserve"> eldeki bilgi ve belgelere göre 2820 sayılı Siyasî Partiler Kanunu'na uygun olduğuna OYBİRLİĞİYLE, </w:t>
      </w:r>
    </w:p>
    <w:p w:rsidR="002F6D54" w:rsidRPr="002F6D54" w:rsidRDefault="002F6D54" w:rsidP="002F6D54">
      <w:pPr>
        <w:spacing w:after="200"/>
        <w:ind w:left="283" w:right="283" w:firstLine="567"/>
        <w:jc w:val="both"/>
        <w:rPr>
          <w:color w:val="010000"/>
        </w:rPr>
      </w:pPr>
      <w:r w:rsidRPr="002F6D54">
        <w:rPr>
          <w:color w:val="010000"/>
          <w:sz w:val="26"/>
          <w:szCs w:val="26"/>
        </w:rPr>
        <w:t xml:space="preserve">2- 2006 yılındaki on günlük hesap dönemine ilişkin defterlerin ibraz edilmemesi nedeniyle 2820 sayılı Yasa'nın 60. ve 113. maddeleri gereğince suç duyurusunda bulunulmasına Osman </w:t>
      </w:r>
      <w:proofErr w:type="spellStart"/>
      <w:r w:rsidRPr="002F6D54">
        <w:rPr>
          <w:color w:val="010000"/>
          <w:sz w:val="26"/>
          <w:szCs w:val="26"/>
        </w:rPr>
        <w:t>Alifeyyaz</w:t>
      </w:r>
      <w:proofErr w:type="spellEnd"/>
      <w:r w:rsidRPr="002F6D54">
        <w:rPr>
          <w:color w:val="010000"/>
          <w:sz w:val="26"/>
          <w:szCs w:val="26"/>
        </w:rPr>
        <w:t xml:space="preserve"> </w:t>
      </w:r>
      <w:proofErr w:type="spellStart"/>
      <w:r w:rsidRPr="002F6D54">
        <w:rPr>
          <w:color w:val="010000"/>
          <w:sz w:val="26"/>
          <w:szCs w:val="26"/>
        </w:rPr>
        <w:t>PAKSÜT'ün</w:t>
      </w:r>
      <w:proofErr w:type="spellEnd"/>
      <w:r w:rsidRPr="002F6D54">
        <w:rPr>
          <w:color w:val="010000"/>
          <w:sz w:val="26"/>
          <w:szCs w:val="26"/>
        </w:rPr>
        <w:t xml:space="preserve"> </w:t>
      </w:r>
      <w:proofErr w:type="spellStart"/>
      <w:r w:rsidRPr="002F6D54">
        <w:rPr>
          <w:color w:val="010000"/>
          <w:sz w:val="26"/>
          <w:szCs w:val="26"/>
        </w:rPr>
        <w:t>karşıoyu</w:t>
      </w:r>
      <w:proofErr w:type="spellEnd"/>
      <w:r w:rsidRPr="002F6D54">
        <w:rPr>
          <w:color w:val="010000"/>
          <w:sz w:val="26"/>
          <w:szCs w:val="26"/>
        </w:rPr>
        <w:t xml:space="preserve"> ve OYÇOKLUĞUYLA,</w:t>
      </w:r>
    </w:p>
    <w:p w:rsidR="002F6D54" w:rsidRPr="002F6D54" w:rsidRDefault="002F6D54" w:rsidP="002F6D54">
      <w:pPr>
        <w:spacing w:after="200"/>
        <w:ind w:left="283" w:right="283" w:firstLine="567"/>
        <w:jc w:val="both"/>
        <w:rPr>
          <w:color w:val="010000"/>
        </w:rPr>
      </w:pPr>
      <w:r w:rsidRPr="002F6D54">
        <w:rPr>
          <w:color w:val="010000"/>
          <w:sz w:val="26"/>
          <w:szCs w:val="26"/>
        </w:rPr>
        <w:t>3- Hesabın 30.6.2007 gününden sonra verilmesi nedeniyle 2820 sayılı Yasa'nın 74. ve 111/b maddeleri gereğince ilgililer hakkında Yargıtay Cumhuriyet Başsavcılığı'na suç duyurusunda bulunulmasına OYBİRLİĞİYLE,</w:t>
      </w:r>
    </w:p>
    <w:p w:rsidR="002F6D54" w:rsidRPr="002F6D54" w:rsidRDefault="002F6D54" w:rsidP="002F6D54">
      <w:pPr>
        <w:spacing w:after="200"/>
        <w:ind w:left="283" w:right="283" w:firstLine="567"/>
        <w:jc w:val="both"/>
        <w:rPr>
          <w:color w:val="010000"/>
        </w:rPr>
      </w:pPr>
      <w:r w:rsidRPr="002F6D54">
        <w:rPr>
          <w:color w:val="010000"/>
          <w:sz w:val="26"/>
          <w:szCs w:val="26"/>
        </w:rPr>
        <w:t>29.4.2008 gününde karar verildi.</w:t>
      </w: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2F6D54" w:rsidRPr="002F6D54" w:rsidTr="002F6D54">
        <w:trPr>
          <w:jc w:val="center"/>
        </w:trPr>
        <w:tc>
          <w:tcPr>
            <w:tcW w:w="1666" w:type="pct"/>
            <w:tcMar>
              <w:top w:w="0" w:type="dxa"/>
              <w:left w:w="108" w:type="dxa"/>
              <w:bottom w:w="0" w:type="dxa"/>
              <w:right w:w="108" w:type="dxa"/>
            </w:tcMar>
            <w:hideMark/>
          </w:tcPr>
          <w:p w:rsidR="002F6D54" w:rsidRPr="002F6D54" w:rsidRDefault="002F6D54" w:rsidP="002F6D54">
            <w:pPr>
              <w:autoSpaceDE w:val="0"/>
              <w:autoSpaceDN w:val="0"/>
              <w:spacing w:after="120"/>
              <w:jc w:val="center"/>
              <w:rPr>
                <w:color w:val="010000"/>
              </w:rPr>
            </w:pPr>
            <w:r w:rsidRPr="002F6D54">
              <w:rPr>
                <w:color w:val="010000"/>
                <w:sz w:val="26"/>
                <w:szCs w:val="26"/>
              </w:rPr>
              <w:t>Başkan</w:t>
            </w:r>
          </w:p>
          <w:p w:rsidR="002F6D54" w:rsidRPr="002F6D54" w:rsidRDefault="002F6D54" w:rsidP="002F6D54">
            <w:pPr>
              <w:overflowPunct w:val="0"/>
              <w:autoSpaceDE w:val="0"/>
              <w:autoSpaceDN w:val="0"/>
              <w:spacing w:after="120"/>
              <w:jc w:val="center"/>
              <w:rPr>
                <w:color w:val="010000"/>
              </w:rPr>
            </w:pPr>
            <w:r w:rsidRPr="002F6D54">
              <w:rPr>
                <w:color w:val="010000"/>
                <w:sz w:val="26"/>
                <w:szCs w:val="26"/>
              </w:rPr>
              <w:t>Haşim KILIÇ</w:t>
            </w:r>
          </w:p>
        </w:tc>
        <w:tc>
          <w:tcPr>
            <w:tcW w:w="1667" w:type="pct"/>
            <w:tcMar>
              <w:top w:w="0" w:type="dxa"/>
              <w:left w:w="108" w:type="dxa"/>
              <w:bottom w:w="0" w:type="dxa"/>
              <w:right w:w="108" w:type="dxa"/>
            </w:tcMar>
            <w:hideMark/>
          </w:tcPr>
          <w:p w:rsidR="002F6D54" w:rsidRPr="002F6D54" w:rsidRDefault="002F6D54" w:rsidP="002F6D54">
            <w:pPr>
              <w:autoSpaceDE w:val="0"/>
              <w:autoSpaceDN w:val="0"/>
              <w:spacing w:after="120"/>
              <w:jc w:val="center"/>
              <w:rPr>
                <w:color w:val="010000"/>
              </w:rPr>
            </w:pPr>
            <w:r w:rsidRPr="002F6D54">
              <w:rPr>
                <w:color w:val="010000"/>
                <w:sz w:val="26"/>
                <w:szCs w:val="26"/>
              </w:rPr>
              <w:t>Başkanvekili</w:t>
            </w:r>
          </w:p>
          <w:p w:rsidR="002F6D54" w:rsidRPr="002F6D54" w:rsidRDefault="002F6D54" w:rsidP="002F6D54">
            <w:pPr>
              <w:overflowPunct w:val="0"/>
              <w:autoSpaceDE w:val="0"/>
              <w:autoSpaceDN w:val="0"/>
              <w:spacing w:after="120"/>
              <w:jc w:val="center"/>
              <w:rPr>
                <w:color w:val="010000"/>
              </w:rPr>
            </w:pPr>
            <w:r w:rsidRPr="002F6D54">
              <w:rPr>
                <w:color w:val="010000"/>
                <w:sz w:val="26"/>
                <w:szCs w:val="26"/>
              </w:rPr>
              <w:t xml:space="preserve">Osman </w:t>
            </w:r>
            <w:proofErr w:type="spellStart"/>
            <w:r w:rsidRPr="002F6D54">
              <w:rPr>
                <w:color w:val="010000"/>
                <w:sz w:val="26"/>
                <w:szCs w:val="26"/>
              </w:rPr>
              <w:t>Alifeyyaz</w:t>
            </w:r>
            <w:proofErr w:type="spellEnd"/>
            <w:r w:rsidRPr="002F6D54">
              <w:rPr>
                <w:color w:val="010000"/>
                <w:sz w:val="26"/>
                <w:szCs w:val="26"/>
              </w:rPr>
              <w:t xml:space="preserve"> PAKSÜT</w:t>
            </w:r>
          </w:p>
        </w:tc>
        <w:tc>
          <w:tcPr>
            <w:tcW w:w="1667" w:type="pct"/>
            <w:tcMar>
              <w:top w:w="0" w:type="dxa"/>
              <w:left w:w="108" w:type="dxa"/>
              <w:bottom w:w="0" w:type="dxa"/>
              <w:right w:w="108" w:type="dxa"/>
            </w:tcMar>
            <w:hideMark/>
          </w:tcPr>
          <w:p w:rsidR="002F6D54" w:rsidRPr="002F6D54" w:rsidRDefault="002F6D54" w:rsidP="002F6D54">
            <w:pPr>
              <w:autoSpaceDE w:val="0"/>
              <w:autoSpaceDN w:val="0"/>
              <w:spacing w:after="120"/>
              <w:jc w:val="center"/>
              <w:rPr>
                <w:color w:val="010000"/>
              </w:rPr>
            </w:pPr>
            <w:r w:rsidRPr="002F6D54">
              <w:rPr>
                <w:color w:val="010000"/>
                <w:sz w:val="26"/>
                <w:szCs w:val="26"/>
              </w:rPr>
              <w:t>Üye</w:t>
            </w:r>
          </w:p>
          <w:p w:rsidR="002F6D54" w:rsidRPr="002F6D54" w:rsidRDefault="002F6D54" w:rsidP="002F6D54">
            <w:pPr>
              <w:overflowPunct w:val="0"/>
              <w:autoSpaceDE w:val="0"/>
              <w:autoSpaceDN w:val="0"/>
              <w:spacing w:after="120"/>
              <w:jc w:val="center"/>
              <w:rPr>
                <w:color w:val="010000"/>
              </w:rPr>
            </w:pPr>
            <w:proofErr w:type="spellStart"/>
            <w:r w:rsidRPr="002F6D54">
              <w:rPr>
                <w:color w:val="010000"/>
                <w:sz w:val="26"/>
                <w:szCs w:val="26"/>
              </w:rPr>
              <w:t>Sacit</w:t>
            </w:r>
            <w:proofErr w:type="spellEnd"/>
            <w:r w:rsidRPr="002F6D54">
              <w:rPr>
                <w:color w:val="010000"/>
                <w:sz w:val="26"/>
                <w:szCs w:val="26"/>
              </w:rPr>
              <w:t xml:space="preserve"> ADALI</w:t>
            </w:r>
          </w:p>
        </w:tc>
      </w:tr>
    </w:tbl>
    <w:p w:rsidR="002F6D54" w:rsidRPr="002F6D54" w:rsidRDefault="002F6D54" w:rsidP="002F6D54">
      <w:pPr>
        <w:spacing w:after="200"/>
        <w:ind w:left="283" w:right="283" w:firstLine="567"/>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2F6D54" w:rsidRPr="002F6D54" w:rsidTr="002F6D54">
        <w:trPr>
          <w:jc w:val="center"/>
        </w:trPr>
        <w:tc>
          <w:tcPr>
            <w:tcW w:w="1666" w:type="pct"/>
            <w:tcMar>
              <w:top w:w="0" w:type="dxa"/>
              <w:left w:w="108" w:type="dxa"/>
              <w:bottom w:w="0" w:type="dxa"/>
              <w:right w:w="108" w:type="dxa"/>
            </w:tcMar>
            <w:hideMark/>
          </w:tcPr>
          <w:p w:rsidR="002F6D54" w:rsidRPr="002F6D54" w:rsidRDefault="002F6D54" w:rsidP="002F6D54">
            <w:pPr>
              <w:autoSpaceDE w:val="0"/>
              <w:autoSpaceDN w:val="0"/>
              <w:spacing w:after="120"/>
              <w:jc w:val="center"/>
              <w:rPr>
                <w:color w:val="010000"/>
              </w:rPr>
            </w:pPr>
            <w:r w:rsidRPr="002F6D54">
              <w:rPr>
                <w:color w:val="010000"/>
                <w:sz w:val="26"/>
                <w:szCs w:val="26"/>
              </w:rPr>
              <w:t>Üye</w:t>
            </w:r>
          </w:p>
          <w:p w:rsidR="002F6D54" w:rsidRPr="002F6D54" w:rsidRDefault="002F6D54" w:rsidP="002F6D54">
            <w:pPr>
              <w:overflowPunct w:val="0"/>
              <w:autoSpaceDE w:val="0"/>
              <w:autoSpaceDN w:val="0"/>
              <w:spacing w:after="120"/>
              <w:jc w:val="center"/>
              <w:rPr>
                <w:color w:val="010000"/>
              </w:rPr>
            </w:pPr>
            <w:r w:rsidRPr="002F6D54">
              <w:rPr>
                <w:color w:val="010000"/>
                <w:sz w:val="26"/>
                <w:szCs w:val="26"/>
              </w:rPr>
              <w:lastRenderedPageBreak/>
              <w:t>Fulya KANTARCIOĞLU</w:t>
            </w:r>
          </w:p>
        </w:tc>
        <w:tc>
          <w:tcPr>
            <w:tcW w:w="1667" w:type="pct"/>
            <w:tcMar>
              <w:top w:w="0" w:type="dxa"/>
              <w:left w:w="108" w:type="dxa"/>
              <w:bottom w:w="0" w:type="dxa"/>
              <w:right w:w="108" w:type="dxa"/>
            </w:tcMar>
            <w:hideMark/>
          </w:tcPr>
          <w:p w:rsidR="002F6D54" w:rsidRPr="002F6D54" w:rsidRDefault="002F6D54" w:rsidP="002F6D54">
            <w:pPr>
              <w:autoSpaceDE w:val="0"/>
              <w:autoSpaceDN w:val="0"/>
              <w:spacing w:after="120"/>
              <w:jc w:val="center"/>
              <w:rPr>
                <w:color w:val="010000"/>
              </w:rPr>
            </w:pPr>
            <w:r w:rsidRPr="002F6D54">
              <w:rPr>
                <w:color w:val="010000"/>
                <w:sz w:val="26"/>
                <w:szCs w:val="26"/>
              </w:rPr>
              <w:lastRenderedPageBreak/>
              <w:t>Üye</w:t>
            </w:r>
          </w:p>
          <w:p w:rsidR="002F6D54" w:rsidRPr="002F6D54" w:rsidRDefault="002F6D54" w:rsidP="002F6D54">
            <w:pPr>
              <w:overflowPunct w:val="0"/>
              <w:autoSpaceDE w:val="0"/>
              <w:autoSpaceDN w:val="0"/>
              <w:spacing w:after="120"/>
              <w:jc w:val="center"/>
              <w:rPr>
                <w:color w:val="010000"/>
              </w:rPr>
            </w:pPr>
            <w:r w:rsidRPr="002F6D54">
              <w:rPr>
                <w:color w:val="010000"/>
                <w:sz w:val="26"/>
                <w:szCs w:val="26"/>
              </w:rPr>
              <w:lastRenderedPageBreak/>
              <w:t>Ahmet AKYALÇIN</w:t>
            </w:r>
          </w:p>
        </w:tc>
        <w:tc>
          <w:tcPr>
            <w:tcW w:w="1667" w:type="pct"/>
            <w:tcMar>
              <w:top w:w="0" w:type="dxa"/>
              <w:left w:w="108" w:type="dxa"/>
              <w:bottom w:w="0" w:type="dxa"/>
              <w:right w:w="108" w:type="dxa"/>
            </w:tcMar>
            <w:hideMark/>
          </w:tcPr>
          <w:p w:rsidR="002F6D54" w:rsidRPr="002F6D54" w:rsidRDefault="002F6D54" w:rsidP="002F6D54">
            <w:pPr>
              <w:autoSpaceDE w:val="0"/>
              <w:autoSpaceDN w:val="0"/>
              <w:spacing w:after="120"/>
              <w:jc w:val="center"/>
              <w:rPr>
                <w:color w:val="010000"/>
              </w:rPr>
            </w:pPr>
            <w:r w:rsidRPr="002F6D54">
              <w:rPr>
                <w:color w:val="010000"/>
                <w:sz w:val="26"/>
                <w:szCs w:val="26"/>
              </w:rPr>
              <w:lastRenderedPageBreak/>
              <w:t>Üye</w:t>
            </w:r>
          </w:p>
          <w:p w:rsidR="002F6D54" w:rsidRPr="002F6D54" w:rsidRDefault="002F6D54" w:rsidP="002F6D54">
            <w:pPr>
              <w:overflowPunct w:val="0"/>
              <w:autoSpaceDE w:val="0"/>
              <w:autoSpaceDN w:val="0"/>
              <w:spacing w:after="120"/>
              <w:jc w:val="center"/>
              <w:rPr>
                <w:color w:val="010000"/>
              </w:rPr>
            </w:pPr>
            <w:r w:rsidRPr="002F6D54">
              <w:rPr>
                <w:color w:val="010000"/>
                <w:sz w:val="26"/>
                <w:szCs w:val="26"/>
              </w:rPr>
              <w:lastRenderedPageBreak/>
              <w:t>Mehmet ERTEN</w:t>
            </w:r>
          </w:p>
        </w:tc>
      </w:tr>
    </w:tbl>
    <w:p w:rsidR="002F6D54" w:rsidRPr="002F6D54" w:rsidRDefault="002F6D54" w:rsidP="002F6D54">
      <w:pPr>
        <w:spacing w:after="200"/>
        <w:ind w:left="283" w:right="283" w:firstLine="567"/>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2F6D54" w:rsidRPr="002F6D54" w:rsidTr="002F6D54">
        <w:trPr>
          <w:jc w:val="center"/>
        </w:trPr>
        <w:tc>
          <w:tcPr>
            <w:tcW w:w="1666" w:type="pct"/>
            <w:tcMar>
              <w:top w:w="0" w:type="dxa"/>
              <w:left w:w="108" w:type="dxa"/>
              <w:bottom w:w="0" w:type="dxa"/>
              <w:right w:w="108" w:type="dxa"/>
            </w:tcMar>
            <w:hideMark/>
          </w:tcPr>
          <w:p w:rsidR="002F6D54" w:rsidRPr="002F6D54" w:rsidRDefault="002F6D54" w:rsidP="002F6D54">
            <w:pPr>
              <w:autoSpaceDE w:val="0"/>
              <w:autoSpaceDN w:val="0"/>
              <w:spacing w:after="120"/>
              <w:jc w:val="center"/>
              <w:rPr>
                <w:color w:val="010000"/>
              </w:rPr>
            </w:pPr>
            <w:r w:rsidRPr="002F6D54">
              <w:rPr>
                <w:color w:val="010000"/>
                <w:sz w:val="26"/>
                <w:szCs w:val="26"/>
              </w:rPr>
              <w:t>Üye</w:t>
            </w:r>
          </w:p>
          <w:p w:rsidR="002F6D54" w:rsidRPr="002F6D54" w:rsidRDefault="002F6D54" w:rsidP="002F6D54">
            <w:pPr>
              <w:overflowPunct w:val="0"/>
              <w:autoSpaceDE w:val="0"/>
              <w:autoSpaceDN w:val="0"/>
              <w:spacing w:after="120"/>
              <w:jc w:val="center"/>
              <w:rPr>
                <w:color w:val="010000"/>
              </w:rPr>
            </w:pPr>
            <w:r w:rsidRPr="002F6D54">
              <w:rPr>
                <w:color w:val="010000"/>
                <w:sz w:val="26"/>
                <w:szCs w:val="26"/>
              </w:rPr>
              <w:t>A. Necmi ÖZLER</w:t>
            </w:r>
          </w:p>
        </w:tc>
        <w:tc>
          <w:tcPr>
            <w:tcW w:w="1667" w:type="pct"/>
            <w:tcMar>
              <w:top w:w="0" w:type="dxa"/>
              <w:left w:w="108" w:type="dxa"/>
              <w:bottom w:w="0" w:type="dxa"/>
              <w:right w:w="108" w:type="dxa"/>
            </w:tcMar>
            <w:hideMark/>
          </w:tcPr>
          <w:p w:rsidR="002F6D54" w:rsidRPr="002F6D54" w:rsidRDefault="002F6D54" w:rsidP="002F6D54">
            <w:pPr>
              <w:autoSpaceDE w:val="0"/>
              <w:autoSpaceDN w:val="0"/>
              <w:spacing w:after="120"/>
              <w:jc w:val="center"/>
              <w:rPr>
                <w:color w:val="010000"/>
              </w:rPr>
            </w:pPr>
            <w:r w:rsidRPr="002F6D54">
              <w:rPr>
                <w:color w:val="010000"/>
                <w:sz w:val="26"/>
                <w:szCs w:val="26"/>
              </w:rPr>
              <w:t>Üye</w:t>
            </w:r>
          </w:p>
          <w:p w:rsidR="002F6D54" w:rsidRPr="002F6D54" w:rsidRDefault="002F6D54" w:rsidP="002F6D54">
            <w:pPr>
              <w:overflowPunct w:val="0"/>
              <w:autoSpaceDE w:val="0"/>
              <w:autoSpaceDN w:val="0"/>
              <w:spacing w:after="120"/>
              <w:jc w:val="center"/>
              <w:rPr>
                <w:color w:val="010000"/>
              </w:rPr>
            </w:pPr>
            <w:r w:rsidRPr="002F6D54">
              <w:rPr>
                <w:color w:val="010000"/>
                <w:sz w:val="26"/>
                <w:szCs w:val="26"/>
              </w:rPr>
              <w:t>Serdar ÖZGÜLDÜR</w:t>
            </w:r>
          </w:p>
        </w:tc>
        <w:tc>
          <w:tcPr>
            <w:tcW w:w="1667" w:type="pct"/>
            <w:tcMar>
              <w:top w:w="0" w:type="dxa"/>
              <w:left w:w="108" w:type="dxa"/>
              <w:bottom w:w="0" w:type="dxa"/>
              <w:right w:w="108" w:type="dxa"/>
            </w:tcMar>
            <w:hideMark/>
          </w:tcPr>
          <w:p w:rsidR="002F6D54" w:rsidRPr="002F6D54" w:rsidRDefault="002F6D54" w:rsidP="002F6D54">
            <w:pPr>
              <w:autoSpaceDE w:val="0"/>
              <w:autoSpaceDN w:val="0"/>
              <w:spacing w:after="120"/>
              <w:jc w:val="center"/>
              <w:rPr>
                <w:color w:val="010000"/>
              </w:rPr>
            </w:pPr>
            <w:r w:rsidRPr="002F6D54">
              <w:rPr>
                <w:color w:val="010000"/>
                <w:sz w:val="26"/>
                <w:szCs w:val="26"/>
              </w:rPr>
              <w:t>Üye</w:t>
            </w:r>
          </w:p>
          <w:p w:rsidR="002F6D54" w:rsidRPr="002F6D54" w:rsidRDefault="002F6D54" w:rsidP="002F6D54">
            <w:pPr>
              <w:overflowPunct w:val="0"/>
              <w:autoSpaceDE w:val="0"/>
              <w:autoSpaceDN w:val="0"/>
              <w:spacing w:after="120"/>
              <w:jc w:val="center"/>
              <w:rPr>
                <w:color w:val="010000"/>
              </w:rPr>
            </w:pPr>
            <w:r w:rsidRPr="002F6D54">
              <w:rPr>
                <w:color w:val="010000"/>
                <w:sz w:val="26"/>
                <w:szCs w:val="26"/>
              </w:rPr>
              <w:t>Şevket APALAK</w:t>
            </w:r>
          </w:p>
        </w:tc>
      </w:tr>
    </w:tbl>
    <w:p w:rsidR="002F6D54" w:rsidRPr="002F6D54" w:rsidRDefault="002F6D54" w:rsidP="002F6D54">
      <w:pPr>
        <w:spacing w:after="200"/>
        <w:ind w:left="283" w:right="283" w:firstLine="567"/>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4890"/>
        <w:gridCol w:w="4890"/>
      </w:tblGrid>
      <w:tr w:rsidR="002F6D54" w:rsidRPr="002F6D54" w:rsidTr="002F6D54">
        <w:trPr>
          <w:jc w:val="center"/>
        </w:trPr>
        <w:tc>
          <w:tcPr>
            <w:tcW w:w="2500" w:type="pct"/>
            <w:tcMar>
              <w:top w:w="0" w:type="dxa"/>
              <w:left w:w="108" w:type="dxa"/>
              <w:bottom w:w="0" w:type="dxa"/>
              <w:right w:w="108" w:type="dxa"/>
            </w:tcMar>
            <w:hideMark/>
          </w:tcPr>
          <w:p w:rsidR="002F6D54" w:rsidRPr="002F6D54" w:rsidRDefault="002F6D54" w:rsidP="002F6D54">
            <w:pPr>
              <w:autoSpaceDE w:val="0"/>
              <w:autoSpaceDN w:val="0"/>
              <w:spacing w:after="120"/>
              <w:jc w:val="center"/>
              <w:rPr>
                <w:color w:val="010000"/>
              </w:rPr>
            </w:pPr>
            <w:r w:rsidRPr="002F6D54">
              <w:rPr>
                <w:color w:val="010000"/>
                <w:sz w:val="26"/>
                <w:szCs w:val="26"/>
              </w:rPr>
              <w:t>Üye</w:t>
            </w:r>
          </w:p>
          <w:p w:rsidR="002F6D54" w:rsidRPr="002F6D54" w:rsidRDefault="002F6D54" w:rsidP="002F6D54">
            <w:pPr>
              <w:overflowPunct w:val="0"/>
              <w:autoSpaceDE w:val="0"/>
              <w:autoSpaceDN w:val="0"/>
              <w:spacing w:after="120"/>
              <w:jc w:val="center"/>
              <w:rPr>
                <w:color w:val="010000"/>
              </w:rPr>
            </w:pPr>
            <w:proofErr w:type="spellStart"/>
            <w:r w:rsidRPr="002F6D54">
              <w:rPr>
                <w:color w:val="010000"/>
                <w:sz w:val="26"/>
                <w:szCs w:val="26"/>
              </w:rPr>
              <w:t>Serruh</w:t>
            </w:r>
            <w:proofErr w:type="spellEnd"/>
            <w:r w:rsidRPr="002F6D54">
              <w:rPr>
                <w:color w:val="010000"/>
                <w:sz w:val="26"/>
                <w:szCs w:val="26"/>
              </w:rPr>
              <w:t xml:space="preserve"> KALELİ</w:t>
            </w:r>
          </w:p>
        </w:tc>
        <w:tc>
          <w:tcPr>
            <w:tcW w:w="2500" w:type="pct"/>
            <w:tcMar>
              <w:top w:w="0" w:type="dxa"/>
              <w:left w:w="108" w:type="dxa"/>
              <w:bottom w:w="0" w:type="dxa"/>
              <w:right w:w="108" w:type="dxa"/>
            </w:tcMar>
            <w:hideMark/>
          </w:tcPr>
          <w:p w:rsidR="002F6D54" w:rsidRPr="002F6D54" w:rsidRDefault="002F6D54" w:rsidP="002F6D54">
            <w:pPr>
              <w:autoSpaceDE w:val="0"/>
              <w:autoSpaceDN w:val="0"/>
              <w:spacing w:after="120"/>
              <w:jc w:val="center"/>
              <w:rPr>
                <w:color w:val="010000"/>
              </w:rPr>
            </w:pPr>
            <w:r w:rsidRPr="002F6D54">
              <w:rPr>
                <w:color w:val="010000"/>
                <w:sz w:val="26"/>
                <w:szCs w:val="26"/>
              </w:rPr>
              <w:t>Üye</w:t>
            </w:r>
          </w:p>
          <w:p w:rsidR="002F6D54" w:rsidRPr="002F6D54" w:rsidRDefault="002F6D54" w:rsidP="002F6D54">
            <w:pPr>
              <w:overflowPunct w:val="0"/>
              <w:autoSpaceDE w:val="0"/>
              <w:autoSpaceDN w:val="0"/>
              <w:spacing w:after="120"/>
              <w:jc w:val="center"/>
              <w:rPr>
                <w:color w:val="010000"/>
              </w:rPr>
            </w:pPr>
            <w:r w:rsidRPr="002F6D54">
              <w:rPr>
                <w:color w:val="010000"/>
                <w:sz w:val="26"/>
                <w:szCs w:val="26"/>
              </w:rPr>
              <w:t>Zehra Ayla PERKTAŞ</w:t>
            </w:r>
          </w:p>
        </w:tc>
      </w:tr>
    </w:tbl>
    <w:p w:rsidR="002F6D54" w:rsidRDefault="002F6D54" w:rsidP="002F6D54">
      <w:pPr>
        <w:spacing w:after="200"/>
        <w:ind w:left="283" w:right="283" w:firstLine="567"/>
        <w:jc w:val="both"/>
        <w:rPr>
          <w:b/>
          <w:bCs/>
          <w:color w:val="010000"/>
          <w:sz w:val="26"/>
          <w:szCs w:val="26"/>
        </w:rPr>
      </w:pPr>
    </w:p>
    <w:p w:rsidR="002F6D54" w:rsidRPr="002F6D54" w:rsidRDefault="002F6D54" w:rsidP="002F6D54">
      <w:pPr>
        <w:spacing w:after="200"/>
        <w:ind w:left="283" w:right="283" w:firstLine="567"/>
        <w:jc w:val="both"/>
        <w:rPr>
          <w:color w:val="010000"/>
        </w:rPr>
      </w:pPr>
      <w:r w:rsidRPr="002F6D54">
        <w:rPr>
          <w:b/>
          <w:bCs/>
          <w:color w:val="010000"/>
          <w:sz w:val="26"/>
          <w:szCs w:val="26"/>
        </w:rPr>
        <w:t>KARŞIOY YAZISI</w:t>
      </w:r>
    </w:p>
    <w:p w:rsidR="002F6D54" w:rsidRPr="002F6D54" w:rsidRDefault="002F6D54" w:rsidP="002F6D54">
      <w:pPr>
        <w:spacing w:after="200"/>
        <w:ind w:left="283" w:right="283" w:firstLine="567"/>
        <w:jc w:val="both"/>
        <w:rPr>
          <w:color w:val="010000"/>
        </w:rPr>
      </w:pPr>
      <w:r w:rsidRPr="002F6D54">
        <w:rPr>
          <w:color w:val="010000"/>
          <w:sz w:val="26"/>
          <w:szCs w:val="26"/>
        </w:rPr>
        <w:t>Katılımcı Demokrasi Partisi'nin 2006 yılı hesaplarının incelenmesinde, 19.12.2006 tarihinde kurulan Partinin 2006 yılında herhangi bir gelir ve giderinin bulunmadığı görülmekle birlikte, bahse konu takvim yılı döneminde Siyasi Partiler Kanunu (SPK)'</w:t>
      </w:r>
      <w:proofErr w:type="spellStart"/>
      <w:r w:rsidRPr="002F6D54">
        <w:rPr>
          <w:color w:val="010000"/>
          <w:sz w:val="26"/>
          <w:szCs w:val="26"/>
        </w:rPr>
        <w:t>nun</w:t>
      </w:r>
      <w:proofErr w:type="spellEnd"/>
      <w:r w:rsidRPr="002F6D54">
        <w:rPr>
          <w:color w:val="010000"/>
          <w:sz w:val="26"/>
          <w:szCs w:val="26"/>
        </w:rPr>
        <w:t xml:space="preserve"> 60. maddesi gereğince tutması gereken defterleri tutmadığı ve bu eylemin </w:t>
      </w:r>
      <w:proofErr w:type="spellStart"/>
      <w:r w:rsidRPr="002F6D54">
        <w:rPr>
          <w:color w:val="010000"/>
          <w:sz w:val="26"/>
          <w:szCs w:val="26"/>
        </w:rPr>
        <w:t>SPK'nun</w:t>
      </w:r>
      <w:proofErr w:type="spellEnd"/>
      <w:r w:rsidRPr="002F6D54">
        <w:rPr>
          <w:color w:val="010000"/>
          <w:sz w:val="26"/>
          <w:szCs w:val="26"/>
        </w:rPr>
        <w:t xml:space="preserve"> 113. maddesinde altı aydan bir yıla kadar hapis cezasını gerektiren suçu oluşturduğu düşüncesiyle anılan Parti yetkilileri hakkında suç duyurusunda bulunulmasına oyçokluğu ile karar verilmiştir. Bu karara aşağıdaki nedenlerle katılmamaktayım:</w:t>
      </w:r>
    </w:p>
    <w:p w:rsidR="002F6D54" w:rsidRPr="002F6D54" w:rsidRDefault="002F6D54" w:rsidP="002F6D54">
      <w:pPr>
        <w:spacing w:after="200"/>
        <w:ind w:left="283" w:right="283" w:firstLine="567"/>
        <w:jc w:val="both"/>
        <w:rPr>
          <w:color w:val="010000"/>
        </w:rPr>
      </w:pPr>
      <w:r w:rsidRPr="002F6D54">
        <w:rPr>
          <w:color w:val="010000"/>
          <w:sz w:val="26"/>
          <w:szCs w:val="26"/>
        </w:rPr>
        <w:t xml:space="preserve">Ceza hukukunun temel ilkelerine göre, kanunsuz suç ve ceza olmaz. Buna göre, </w:t>
      </w:r>
      <w:proofErr w:type="spellStart"/>
      <w:r w:rsidRPr="002F6D54">
        <w:rPr>
          <w:color w:val="010000"/>
          <w:sz w:val="26"/>
          <w:szCs w:val="26"/>
        </w:rPr>
        <w:t>SPK'nun</w:t>
      </w:r>
      <w:proofErr w:type="spellEnd"/>
      <w:r w:rsidRPr="002F6D54">
        <w:rPr>
          <w:color w:val="010000"/>
          <w:sz w:val="26"/>
          <w:szCs w:val="26"/>
        </w:rPr>
        <w:t xml:space="preserve"> 113. maddesindeki suçun oluştuğundan bahsedebilmek için, aynı kanunun 60. maddesinde belirtilen defterleri tutma yükümlülüğünün ya SPK'da veya bu kanunun gönderme yaptığı diğer kanun hükümlerinde açıkça tanımlanmış, yani suçun unsurlarının gösterilmiş olması gerekir. Olayda, defter tutma yükümlülüğünün yerine getirilmediği dönem 10 gündür. (Parti, 2007 yılma ait defter tutma yükümlülüğünü ise yerine getirmiştir). Bu durumda, mevzuatımıza göre bir siyasi partinin kuruluşu anında veya kuruluşunu takip eden 10 gün içinde </w:t>
      </w:r>
      <w:proofErr w:type="spellStart"/>
      <w:r w:rsidRPr="002F6D54">
        <w:rPr>
          <w:color w:val="010000"/>
          <w:sz w:val="26"/>
          <w:szCs w:val="26"/>
        </w:rPr>
        <w:t>SPK'nun</w:t>
      </w:r>
      <w:proofErr w:type="spellEnd"/>
      <w:r w:rsidRPr="002F6D54">
        <w:rPr>
          <w:color w:val="010000"/>
          <w:sz w:val="26"/>
          <w:szCs w:val="26"/>
        </w:rPr>
        <w:t xml:space="preserve"> 60. maddesine göre defterlerini hazır hale getirmiş ve</w:t>
      </w:r>
      <w:r w:rsidRPr="002F6D54">
        <w:rPr>
          <w:color w:val="010000"/>
          <w:sz w:val="26"/>
          <w:szCs w:val="26"/>
        </w:rPr>
        <w:t xml:space="preserve"> </w:t>
      </w:r>
      <w:r w:rsidRPr="002F6D54">
        <w:rPr>
          <w:color w:val="010000"/>
          <w:sz w:val="26"/>
          <w:szCs w:val="26"/>
        </w:rPr>
        <w:t>tasdik ettirmiş olmasını zorunlu kılan bir açık bir hüküm olup olmadığına bakılması gerekir.</w:t>
      </w:r>
    </w:p>
    <w:p w:rsidR="002F6D54" w:rsidRPr="002F6D54" w:rsidRDefault="002F6D54" w:rsidP="002F6D54">
      <w:pPr>
        <w:spacing w:after="200"/>
        <w:ind w:left="283" w:right="283" w:firstLine="567"/>
        <w:jc w:val="both"/>
        <w:rPr>
          <w:color w:val="010000"/>
        </w:rPr>
      </w:pPr>
      <w:r w:rsidRPr="002F6D54">
        <w:rPr>
          <w:color w:val="010000"/>
          <w:sz w:val="26"/>
          <w:szCs w:val="26"/>
        </w:rPr>
        <w:t>SPK'da, siyasi partilerin 8. maddede belirtilen bildiri ve belgelerin İçişleri Bakanlığına verilmesiyle tüzel kişilik kazanacağı belirtilmekte, ancak bu belgeler arasında 60. maddeye göre tutulması zorunlu olan defterler sayılmamaktadır. Buna göre, siyasi partiler yönünden defterlerin, kuruluş tarihinde tasdikli bir şekilde hazır bulunmasına ilişkin, ticaret şirketlerinde olduğu gibi bir zorunluluk bulunmadığı anlaşılmaktadır.</w:t>
      </w:r>
    </w:p>
    <w:p w:rsidR="002F6D54" w:rsidRPr="002F6D54" w:rsidRDefault="002F6D54" w:rsidP="002F6D54">
      <w:pPr>
        <w:spacing w:after="200"/>
        <w:ind w:left="283" w:right="283" w:firstLine="567"/>
        <w:jc w:val="both"/>
        <w:rPr>
          <w:color w:val="010000"/>
        </w:rPr>
      </w:pPr>
      <w:proofErr w:type="spellStart"/>
      <w:r w:rsidRPr="002F6D54">
        <w:rPr>
          <w:color w:val="010000"/>
          <w:sz w:val="26"/>
          <w:szCs w:val="26"/>
        </w:rPr>
        <w:t>SPK'nun</w:t>
      </w:r>
      <w:proofErr w:type="spellEnd"/>
      <w:r w:rsidRPr="002F6D54">
        <w:rPr>
          <w:color w:val="010000"/>
          <w:sz w:val="26"/>
          <w:szCs w:val="26"/>
        </w:rPr>
        <w:t xml:space="preserve"> 121. maddesi gereğince, Türk Medeni Kanunu ile Dernekler Kanunu'nun ve dernekler hakkında uygulanan diğer kanunların SPK'na aykırı olmayan hükümleri siyasi partiler hakkında da uygulanacağından, 60. maddedeki defter tutma ve tasdik ettirme yükümlülüğünün ne zaman başladığı hakkında, sözü geçen kanunlara da bakılması gerekir. Dernekler Kanunu'nun 11. maddesinde, derneklerin tutacakları defterlerle ilgili usul ve esasların Yönetmelikle düzenleneceği belirtilmiştir. Dernek defterlerine ilişkin hükümler, anılan Yönetmeliğin 31-40. maddelerinde yer almaktadır. Defterlerin tasdikine ilişkin 36. maddede bir süre öngörülmemiş, yalnızca defterlerin 'kullanılmaya başlamadan önce' tasdik ettirileceği belirtilmiştir. Yönetmeliğin 'kayıt zamanı' başlıklı 34. maddesine göre, işlemlerin, defterlere günlük olarak kaydedilmesi gerekmektedir. Ancak, gelir ve gider kayıtları, maddenin (a) bendine göre, 'işlemlerin, </w:t>
      </w:r>
      <w:r w:rsidRPr="002F6D54">
        <w:rPr>
          <w:color w:val="010000"/>
          <w:sz w:val="26"/>
          <w:szCs w:val="26"/>
        </w:rPr>
        <w:lastRenderedPageBreak/>
        <w:t xml:space="preserve">işin hacmine ve gereklerine uygun olarak muhasebe düzeni ve güvenliğini bozmayacak bir süre içinde kaydedilmesi şarttır. </w:t>
      </w:r>
      <w:r w:rsidRPr="002F6D54">
        <w:rPr>
          <w:b/>
          <w:bCs/>
          <w:color w:val="010000"/>
          <w:sz w:val="26"/>
          <w:szCs w:val="26"/>
        </w:rPr>
        <w:t xml:space="preserve">Bu gibi kayıtlar on günden fazla geciktirilemez'. </w:t>
      </w:r>
      <w:r w:rsidRPr="002F6D54">
        <w:rPr>
          <w:color w:val="010000"/>
          <w:sz w:val="26"/>
          <w:szCs w:val="26"/>
        </w:rPr>
        <w:t xml:space="preserve">Aynı maddenin (b) bendinde de 'Kayıtlarını devamlı olarak muhasebe fişleri ve bordro gibi yetkili amirlerin imza ve parafını taşıyan belgelere dayanarak tutan derneklerde, işlemlerin bunlara kaydedilmesi, deftere işlenmesi hükmündedir. Ancak bu kayıtlar, </w:t>
      </w:r>
      <w:r w:rsidRPr="002F6D54">
        <w:rPr>
          <w:b/>
          <w:bCs/>
          <w:color w:val="010000"/>
          <w:sz w:val="26"/>
          <w:szCs w:val="26"/>
        </w:rPr>
        <w:t xml:space="preserve">işlemlerin esas defterlere </w:t>
      </w:r>
      <w:proofErr w:type="spellStart"/>
      <w:r w:rsidRPr="002F6D54">
        <w:rPr>
          <w:b/>
          <w:bCs/>
          <w:color w:val="010000"/>
          <w:sz w:val="26"/>
          <w:szCs w:val="26"/>
        </w:rPr>
        <w:t>kırkbeş</w:t>
      </w:r>
      <w:proofErr w:type="spellEnd"/>
      <w:r w:rsidRPr="002F6D54">
        <w:rPr>
          <w:b/>
          <w:bCs/>
          <w:color w:val="010000"/>
          <w:sz w:val="26"/>
          <w:szCs w:val="26"/>
        </w:rPr>
        <w:t xml:space="preserve"> günden daha geç intikal ettirilmesine </w:t>
      </w:r>
      <w:proofErr w:type="gramStart"/>
      <w:r w:rsidRPr="002F6D54">
        <w:rPr>
          <w:color w:val="010000"/>
          <w:sz w:val="26"/>
          <w:szCs w:val="26"/>
        </w:rPr>
        <w:t>imkan</w:t>
      </w:r>
      <w:proofErr w:type="gramEnd"/>
      <w:r w:rsidRPr="002F6D54">
        <w:rPr>
          <w:color w:val="010000"/>
          <w:sz w:val="26"/>
          <w:szCs w:val="26"/>
        </w:rPr>
        <w:t xml:space="preserve"> vermez.' Denilmiştir. Bu hükümlere göre, kaydı gereken bir işlem yoksa, o aşamada tasdik edilmiş bir defterin mevcut bulunmayışı da yasaya aykırılık teşkil etmeyecektir. Hukuka aykırılıktan söz edebilmek için, ilgili tüzel kişinin kuruluşu anında tasdikli defterlerinin de bulunmasını zorunlu kılan açık bir yasa kuralının varlığı zorunludur. </w:t>
      </w:r>
      <w:proofErr w:type="spellStart"/>
      <w:r w:rsidRPr="002F6D54">
        <w:rPr>
          <w:color w:val="010000"/>
          <w:sz w:val="26"/>
          <w:szCs w:val="26"/>
        </w:rPr>
        <w:t>SPK'nun</w:t>
      </w:r>
      <w:proofErr w:type="spellEnd"/>
      <w:r w:rsidRPr="002F6D54">
        <w:rPr>
          <w:color w:val="010000"/>
          <w:sz w:val="26"/>
          <w:szCs w:val="26"/>
        </w:rPr>
        <w:t xml:space="preserve"> yaptığı gönderme nedeniyle defter tutma yönünden öncelikle Dernekler Kanunu esas alınacağından, niteliği gereği siyasi partilerden tamamen farklı gerçek ve tüzel kişilere uygulanabilecek Türk Ticaret Kanunu veya Vergi Usul Kanunu hükümlerinin ceza hukuku alanında siyasi partilere kıyasen uygulanması olanaklı değildir.</w:t>
      </w:r>
    </w:p>
    <w:p w:rsidR="002F6D54" w:rsidRPr="002F6D54" w:rsidRDefault="002F6D54" w:rsidP="002F6D54">
      <w:pPr>
        <w:spacing w:after="200"/>
        <w:ind w:left="283" w:right="283" w:firstLine="567"/>
        <w:jc w:val="both"/>
        <w:rPr>
          <w:color w:val="010000"/>
        </w:rPr>
      </w:pPr>
      <w:r w:rsidRPr="002F6D54">
        <w:rPr>
          <w:color w:val="010000"/>
          <w:sz w:val="26"/>
          <w:szCs w:val="26"/>
        </w:rPr>
        <w:t xml:space="preserve">Bu nedenle, siyasi partinin kuruluşunu takip eden 10 günlük dönemde tasdikli defterlerin bulunmayışının, </w:t>
      </w:r>
      <w:proofErr w:type="spellStart"/>
      <w:r w:rsidRPr="002F6D54">
        <w:rPr>
          <w:color w:val="010000"/>
          <w:sz w:val="26"/>
          <w:szCs w:val="26"/>
        </w:rPr>
        <w:t>SPK'nun</w:t>
      </w:r>
      <w:proofErr w:type="spellEnd"/>
      <w:r w:rsidRPr="002F6D54">
        <w:rPr>
          <w:color w:val="010000"/>
          <w:sz w:val="26"/>
          <w:szCs w:val="26"/>
        </w:rPr>
        <w:t xml:space="preserve"> 113. maddesindeki defter tutmama suçunu oluşturduğu düşüncesine ulaşmak mümkün değildir. Hürriyeti bağlayıcı ceza gerektiren bir eylemin varlığına, özel Kanununda unsurları açıkça tanımlanmayan kuralların yorumu veya başka yasa ve yönetmeliklerde yer alan kuralların kıyas yoluyla uygulanması suretiyle hükmedilemez.</w:t>
      </w:r>
    </w:p>
    <w:p w:rsidR="002F6D54" w:rsidRPr="002F6D54" w:rsidRDefault="002F6D54" w:rsidP="002F6D54">
      <w:pPr>
        <w:spacing w:after="200"/>
        <w:ind w:left="283" w:right="283" w:firstLine="567"/>
        <w:jc w:val="both"/>
        <w:rPr>
          <w:color w:val="010000"/>
        </w:rPr>
      </w:pPr>
      <w:r w:rsidRPr="002F6D54">
        <w:rPr>
          <w:color w:val="010000"/>
          <w:sz w:val="26"/>
          <w:szCs w:val="26"/>
        </w:rPr>
        <w:t>Bu nedenlerle, olayda suç duyurusunu gerektiren bir durum bulunmadığı düşüncesindeyim.</w:t>
      </w:r>
    </w:p>
    <w:tbl>
      <w:tblPr>
        <w:tblStyle w:val="TabloKlavuzu"/>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6"/>
        <w:gridCol w:w="1956"/>
        <w:gridCol w:w="1956"/>
        <w:gridCol w:w="1956"/>
        <w:gridCol w:w="1956"/>
      </w:tblGrid>
      <w:tr w:rsidR="002F6D54" w:rsidTr="002F6D54">
        <w:trPr>
          <w:jc w:val="center"/>
        </w:trPr>
        <w:tc>
          <w:tcPr>
            <w:tcW w:w="1000" w:type="pct"/>
            <w:shd w:val="clear" w:color="auto" w:fill="auto"/>
          </w:tcPr>
          <w:p w:rsidR="002F6D54" w:rsidRDefault="002F6D54" w:rsidP="002F6D54">
            <w:pPr>
              <w:spacing w:after="120"/>
              <w:jc w:val="center"/>
              <w:rPr>
                <w:color w:val="010000"/>
              </w:rPr>
            </w:pPr>
          </w:p>
        </w:tc>
        <w:tc>
          <w:tcPr>
            <w:tcW w:w="1000" w:type="pct"/>
            <w:shd w:val="clear" w:color="auto" w:fill="auto"/>
          </w:tcPr>
          <w:p w:rsidR="002F6D54" w:rsidRDefault="002F6D54" w:rsidP="002F6D54">
            <w:pPr>
              <w:spacing w:after="120"/>
              <w:jc w:val="center"/>
              <w:rPr>
                <w:color w:val="010000"/>
              </w:rPr>
            </w:pPr>
          </w:p>
        </w:tc>
        <w:tc>
          <w:tcPr>
            <w:tcW w:w="1000" w:type="pct"/>
            <w:shd w:val="clear" w:color="auto" w:fill="auto"/>
          </w:tcPr>
          <w:p w:rsidR="002F6D54" w:rsidRDefault="002F6D54" w:rsidP="002F6D54">
            <w:pPr>
              <w:spacing w:after="120"/>
              <w:jc w:val="center"/>
              <w:rPr>
                <w:color w:val="010000"/>
              </w:rPr>
            </w:pPr>
          </w:p>
        </w:tc>
        <w:tc>
          <w:tcPr>
            <w:tcW w:w="1000" w:type="pct"/>
            <w:shd w:val="clear" w:color="auto" w:fill="auto"/>
          </w:tcPr>
          <w:p w:rsidR="002F6D54" w:rsidRDefault="002F6D54" w:rsidP="002F6D54">
            <w:pPr>
              <w:spacing w:after="120"/>
              <w:jc w:val="center"/>
              <w:rPr>
                <w:color w:val="010000"/>
              </w:rPr>
            </w:pPr>
          </w:p>
        </w:tc>
        <w:tc>
          <w:tcPr>
            <w:tcW w:w="1000" w:type="pct"/>
            <w:shd w:val="clear" w:color="auto" w:fill="auto"/>
          </w:tcPr>
          <w:p w:rsidR="002F6D54" w:rsidRDefault="002F6D54" w:rsidP="002F6D54">
            <w:pPr>
              <w:spacing w:after="120"/>
              <w:jc w:val="center"/>
              <w:rPr>
                <w:color w:val="010000"/>
              </w:rPr>
            </w:pPr>
            <w:r>
              <w:rPr>
                <w:color w:val="010000"/>
              </w:rPr>
              <w:t>Başkanvekili</w:t>
            </w:r>
          </w:p>
          <w:p w:rsidR="002F6D54" w:rsidRDefault="002F6D54" w:rsidP="002F6D54">
            <w:pPr>
              <w:spacing w:after="120"/>
              <w:jc w:val="center"/>
              <w:rPr>
                <w:color w:val="010000"/>
              </w:rPr>
            </w:pPr>
            <w:r>
              <w:rPr>
                <w:color w:val="010000"/>
              </w:rPr>
              <w:t xml:space="preserve">Osman </w:t>
            </w:r>
            <w:proofErr w:type="spellStart"/>
            <w:r>
              <w:rPr>
                <w:color w:val="010000"/>
              </w:rPr>
              <w:t>Alifeyy</w:t>
            </w:r>
            <w:bookmarkStart w:id="0" w:name="_GoBack"/>
            <w:bookmarkEnd w:id="0"/>
            <w:r>
              <w:rPr>
                <w:color w:val="010000"/>
              </w:rPr>
              <w:t>az</w:t>
            </w:r>
            <w:proofErr w:type="spellEnd"/>
            <w:r>
              <w:rPr>
                <w:color w:val="010000"/>
              </w:rPr>
              <w:t xml:space="preserve"> PAKSÜT</w:t>
            </w:r>
          </w:p>
          <w:p w:rsidR="002F6D54" w:rsidRPr="002F6D54" w:rsidRDefault="002F6D54" w:rsidP="002F6D54">
            <w:pPr>
              <w:spacing w:after="120"/>
              <w:jc w:val="center"/>
              <w:rPr>
                <w:color w:val="010000"/>
              </w:rPr>
            </w:pPr>
          </w:p>
        </w:tc>
      </w:tr>
    </w:tbl>
    <w:p w:rsidR="002F6D54" w:rsidRPr="002F6D54" w:rsidRDefault="002F6D54" w:rsidP="002F6D54">
      <w:pPr>
        <w:spacing w:after="200"/>
        <w:ind w:left="283" w:right="283" w:firstLine="567"/>
        <w:jc w:val="both"/>
        <w:rPr>
          <w:color w:val="010000"/>
        </w:rPr>
      </w:pPr>
    </w:p>
    <w:sectPr w:rsidR="002F6D54" w:rsidRPr="002F6D54" w:rsidSect="002F6D54">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46340" w:rsidRDefault="00446340" w:rsidP="002F6D54">
      <w:r>
        <w:separator/>
      </w:r>
    </w:p>
  </w:endnote>
  <w:endnote w:type="continuationSeparator" w:id="0">
    <w:p w:rsidR="00446340" w:rsidRDefault="00446340" w:rsidP="002F6D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6D54" w:rsidRDefault="002F6D54" w:rsidP="005625B0">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2F6D54" w:rsidRDefault="002F6D54" w:rsidP="002F6D54">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6D54" w:rsidRPr="002F6D54" w:rsidRDefault="002F6D54" w:rsidP="005625B0">
    <w:pPr>
      <w:pStyle w:val="AltBilgi"/>
      <w:framePr w:wrap="around" w:vAnchor="text" w:hAnchor="margin" w:xAlign="right" w:y="1"/>
      <w:rPr>
        <w:rStyle w:val="SayfaNumaras"/>
      </w:rPr>
    </w:pPr>
    <w:r w:rsidRPr="002F6D54">
      <w:rPr>
        <w:rStyle w:val="SayfaNumaras"/>
      </w:rPr>
      <w:fldChar w:fldCharType="begin"/>
    </w:r>
    <w:r w:rsidRPr="002F6D54">
      <w:rPr>
        <w:rStyle w:val="SayfaNumaras"/>
      </w:rPr>
      <w:instrText xml:space="preserve"> PAGE </w:instrText>
    </w:r>
    <w:r w:rsidRPr="002F6D54">
      <w:rPr>
        <w:rStyle w:val="SayfaNumaras"/>
      </w:rPr>
      <w:fldChar w:fldCharType="separate"/>
    </w:r>
    <w:r w:rsidRPr="002F6D54">
      <w:rPr>
        <w:rStyle w:val="SayfaNumaras"/>
        <w:noProof/>
      </w:rPr>
      <w:t>1</w:t>
    </w:r>
    <w:r w:rsidRPr="002F6D54">
      <w:rPr>
        <w:rStyle w:val="SayfaNumaras"/>
      </w:rPr>
      <w:fldChar w:fldCharType="end"/>
    </w:r>
  </w:p>
  <w:p w:rsidR="002F6D54" w:rsidRDefault="002F6D54" w:rsidP="002F6D54">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46340" w:rsidRDefault="00446340" w:rsidP="002F6D54">
      <w:r>
        <w:separator/>
      </w:r>
    </w:p>
  </w:footnote>
  <w:footnote w:type="continuationSeparator" w:id="0">
    <w:p w:rsidR="00446340" w:rsidRDefault="00446340" w:rsidP="002F6D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6D54" w:rsidRPr="002F6D54" w:rsidRDefault="002F6D54" w:rsidP="002F6D54">
    <w:pPr>
      <w:pStyle w:val="stBilgi"/>
      <w:rPr>
        <w:b/>
      </w:rPr>
    </w:pPr>
    <w:r w:rsidRPr="002F6D54">
      <w:rPr>
        <w:b/>
      </w:rPr>
      <w:t>Esas Sayısı:2007/41 (Siyasî Parti Malî Denetimi)</w:t>
    </w:r>
  </w:p>
  <w:p w:rsidR="002F6D54" w:rsidRDefault="002F6D54" w:rsidP="002F6D54">
    <w:pPr>
      <w:pStyle w:val="stBilgi"/>
      <w:rPr>
        <w:b/>
      </w:rPr>
    </w:pPr>
    <w:r>
      <w:rPr>
        <w:b/>
      </w:rPr>
      <w:t>Karar Sayısı:2008/75</w:t>
    </w:r>
  </w:p>
  <w:p w:rsidR="002F6D54" w:rsidRPr="002F6D54" w:rsidRDefault="002F6D54" w:rsidP="002F6D54">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6D54"/>
    <w:rsid w:val="00041752"/>
    <w:rsid w:val="00065B42"/>
    <w:rsid w:val="000E45EB"/>
    <w:rsid w:val="000F1EDB"/>
    <w:rsid w:val="00124B66"/>
    <w:rsid w:val="00286DD9"/>
    <w:rsid w:val="002F6D54"/>
    <w:rsid w:val="00347E8D"/>
    <w:rsid w:val="00446340"/>
    <w:rsid w:val="00503F1E"/>
    <w:rsid w:val="00821D56"/>
    <w:rsid w:val="008D57F7"/>
    <w:rsid w:val="00B04393"/>
    <w:rsid w:val="00DE74CD"/>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29E8B9"/>
  <w15:chartTrackingRefBased/>
  <w15:docId w15:val="{6980AAF2-2D93-433A-AD7A-75FE71B876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F6D54"/>
    <w:pPr>
      <w:spacing w:line="240" w:lineRule="auto"/>
    </w:pPr>
    <w:rPr>
      <w:rFonts w:ascii="Times New Roman" w:eastAsiaTheme="minorEastAsia" w:hAnsi="Times New Roman" w:cs="Times New Roman"/>
      <w:sz w:val="24"/>
      <w:szCs w:val="24"/>
      <w:lang w:eastAsia="tr-TR"/>
    </w:rPr>
  </w:style>
  <w:style w:type="paragraph" w:styleId="Balk1">
    <w:name w:val="heading 1"/>
    <w:basedOn w:val="Normal"/>
    <w:next w:val="Normal"/>
    <w:link w:val="Balk1Char"/>
    <w:uiPriority w:val="9"/>
    <w:qFormat/>
    <w:rsid w:val="00041752"/>
    <w:pPr>
      <w:keepNext/>
      <w:keepLines/>
      <w:spacing w:before="400" w:after="120" w:line="276" w:lineRule="auto"/>
      <w:outlineLvl w:val="0"/>
    </w:pPr>
    <w:rPr>
      <w:rFonts w:ascii="Arial" w:eastAsia="Arial" w:hAnsi="Arial" w:cs="Arial"/>
      <w:sz w:val="40"/>
      <w:szCs w:val="40"/>
      <w:lang w:eastAsia="en-US"/>
    </w:rPr>
  </w:style>
  <w:style w:type="paragraph" w:styleId="Balk2">
    <w:name w:val="heading 2"/>
    <w:basedOn w:val="Normal"/>
    <w:next w:val="Normal"/>
    <w:link w:val="Balk2Char"/>
    <w:uiPriority w:val="9"/>
    <w:semiHidden/>
    <w:unhideWhenUsed/>
    <w:qFormat/>
    <w:rsid w:val="00041752"/>
    <w:pPr>
      <w:keepNext/>
      <w:keepLines/>
      <w:spacing w:before="360" w:after="120" w:line="276" w:lineRule="auto"/>
      <w:outlineLvl w:val="1"/>
    </w:pPr>
    <w:rPr>
      <w:rFonts w:ascii="Arial" w:eastAsia="Arial" w:hAnsi="Arial" w:cs="Arial"/>
      <w:sz w:val="32"/>
      <w:szCs w:val="32"/>
      <w:lang w:eastAsia="en-US"/>
    </w:rPr>
  </w:style>
  <w:style w:type="paragraph" w:styleId="Balk3">
    <w:name w:val="heading 3"/>
    <w:basedOn w:val="Normal"/>
    <w:next w:val="Normal"/>
    <w:link w:val="Balk3Char"/>
    <w:uiPriority w:val="9"/>
    <w:semiHidden/>
    <w:unhideWhenUsed/>
    <w:qFormat/>
    <w:rsid w:val="00041752"/>
    <w:pPr>
      <w:keepNext/>
      <w:keepLines/>
      <w:spacing w:before="320" w:after="80" w:line="276" w:lineRule="auto"/>
      <w:outlineLvl w:val="2"/>
    </w:pPr>
    <w:rPr>
      <w:rFonts w:ascii="Arial" w:eastAsia="Arial" w:hAnsi="Arial" w:cs="Arial"/>
      <w:color w:val="434343"/>
      <w:sz w:val="28"/>
      <w:szCs w:val="28"/>
      <w:lang w:eastAsia="en-US"/>
    </w:rPr>
  </w:style>
  <w:style w:type="paragraph" w:styleId="Balk4">
    <w:name w:val="heading 4"/>
    <w:basedOn w:val="Normal"/>
    <w:next w:val="Normal"/>
    <w:link w:val="Balk4Char"/>
    <w:uiPriority w:val="9"/>
    <w:semiHidden/>
    <w:unhideWhenUsed/>
    <w:qFormat/>
    <w:rsid w:val="00041752"/>
    <w:pPr>
      <w:keepNext/>
      <w:keepLines/>
      <w:spacing w:before="280" w:after="80" w:line="276" w:lineRule="auto"/>
      <w:outlineLvl w:val="3"/>
    </w:pPr>
    <w:rPr>
      <w:rFonts w:ascii="Arial" w:eastAsia="Arial" w:hAnsi="Arial" w:cs="Arial"/>
      <w:color w:val="666666"/>
      <w:lang w:eastAsia="en-US"/>
    </w:rPr>
  </w:style>
  <w:style w:type="paragraph" w:styleId="Balk5">
    <w:name w:val="heading 5"/>
    <w:basedOn w:val="Normal"/>
    <w:next w:val="Normal"/>
    <w:link w:val="Balk5Char"/>
    <w:uiPriority w:val="9"/>
    <w:semiHidden/>
    <w:unhideWhenUsed/>
    <w:qFormat/>
    <w:rsid w:val="00041752"/>
    <w:pPr>
      <w:keepNext/>
      <w:keepLines/>
      <w:spacing w:before="240" w:after="80" w:line="276" w:lineRule="auto"/>
      <w:outlineLvl w:val="4"/>
    </w:pPr>
    <w:rPr>
      <w:rFonts w:ascii="Arial" w:eastAsia="Arial" w:hAnsi="Arial" w:cs="Arial"/>
      <w:color w:val="666666"/>
      <w:sz w:val="22"/>
      <w:szCs w:val="22"/>
      <w:lang w:eastAsia="en-US"/>
    </w:rPr>
  </w:style>
  <w:style w:type="paragraph" w:styleId="Balk6">
    <w:name w:val="heading 6"/>
    <w:basedOn w:val="Normal"/>
    <w:next w:val="Normal"/>
    <w:link w:val="Balk6Char"/>
    <w:uiPriority w:val="9"/>
    <w:semiHidden/>
    <w:unhideWhenUsed/>
    <w:qFormat/>
    <w:rsid w:val="00041752"/>
    <w:pPr>
      <w:keepNext/>
      <w:keepLines/>
      <w:spacing w:before="240" w:after="80" w:line="276" w:lineRule="auto"/>
      <w:outlineLvl w:val="5"/>
    </w:pPr>
    <w:rPr>
      <w:rFonts w:ascii="Arial" w:eastAsia="Arial" w:hAnsi="Arial" w:cs="Arial"/>
      <w:i/>
      <w:color w:val="666666"/>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semiHidden/>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spacing w:after="60" w:line="276" w:lineRule="auto"/>
    </w:pPr>
    <w:rPr>
      <w:rFonts w:ascii="Arial" w:eastAsia="Arial" w:hAnsi="Arial" w:cs="Arial"/>
      <w:sz w:val="52"/>
      <w:szCs w:val="52"/>
      <w:lang w:eastAsia="en-US"/>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spacing w:after="320" w:line="276" w:lineRule="auto"/>
    </w:pPr>
    <w:rPr>
      <w:rFonts w:ascii="Arial" w:eastAsia="Arial" w:hAnsi="Arial" w:cs="Arial"/>
      <w:color w:val="666666"/>
      <w:sz w:val="30"/>
      <w:szCs w:val="30"/>
      <w:lang w:eastAsia="en-US"/>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spacing w:line="276" w:lineRule="auto"/>
      <w:ind w:left="720"/>
      <w:contextualSpacing/>
    </w:pPr>
    <w:rPr>
      <w:rFonts w:ascii="Arial" w:eastAsia="Arial" w:hAnsi="Arial" w:cs="Arial"/>
      <w:sz w:val="22"/>
      <w:szCs w:val="22"/>
      <w:lang w:eastAsia="en-US"/>
    </w:rPr>
  </w:style>
  <w:style w:type="paragraph" w:styleId="stBilgi">
    <w:name w:val="header"/>
    <w:basedOn w:val="Normal"/>
    <w:link w:val="stBilgiChar"/>
    <w:uiPriority w:val="99"/>
    <w:unhideWhenUsed/>
    <w:rsid w:val="002F6D54"/>
    <w:pPr>
      <w:tabs>
        <w:tab w:val="center" w:pos="4536"/>
        <w:tab w:val="right" w:pos="9072"/>
      </w:tabs>
    </w:pPr>
  </w:style>
  <w:style w:type="character" w:customStyle="1" w:styleId="stBilgiChar">
    <w:name w:val="Üst Bilgi Char"/>
    <w:basedOn w:val="VarsaylanParagrafYazTipi"/>
    <w:link w:val="stBilgi"/>
    <w:uiPriority w:val="99"/>
    <w:rsid w:val="002F6D54"/>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2F6D54"/>
    <w:pPr>
      <w:tabs>
        <w:tab w:val="center" w:pos="4536"/>
        <w:tab w:val="right" w:pos="9072"/>
      </w:tabs>
    </w:pPr>
  </w:style>
  <w:style w:type="character" w:customStyle="1" w:styleId="AltBilgiChar">
    <w:name w:val="Alt Bilgi Char"/>
    <w:basedOn w:val="VarsaylanParagrafYazTipi"/>
    <w:link w:val="AltBilgi"/>
    <w:uiPriority w:val="99"/>
    <w:rsid w:val="002F6D54"/>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2F6D54"/>
  </w:style>
  <w:style w:type="table" w:styleId="TabloKlavuzu">
    <w:name w:val="Table Grid"/>
    <w:basedOn w:val="NormalTablo"/>
    <w:uiPriority w:val="39"/>
    <w:rsid w:val="002F6D54"/>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963</Words>
  <Characters>5492</Characters>
  <Application>Microsoft Office Word</Application>
  <DocSecurity>0</DocSecurity>
  <Lines>45</Lines>
  <Paragraphs>12</Paragraphs>
  <ScaleCrop>false</ScaleCrop>
  <Company/>
  <LinksUpToDate>false</LinksUpToDate>
  <CharactersWithSpaces>6443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2020-06-15T08:41:00Z</dcterms:created>
  <dcterms:modified xsi:type="dcterms:W3CDTF">2020-06-15T08:42:00Z</dcterms:modified>
</cp:coreProperties>
</file>