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32C" w:rsidRDefault="00C0332C" w:rsidP="00C0332C">
      <w:pPr>
        <w:spacing w:after="200"/>
        <w:ind w:left="283" w:right="283"/>
        <w:jc w:val="center"/>
        <w:rPr>
          <w:b/>
          <w:bCs/>
          <w:caps/>
          <w:color w:val="010000"/>
          <w:szCs w:val="26"/>
        </w:rPr>
      </w:pPr>
      <w:r w:rsidRPr="00C0332C">
        <w:rPr>
          <w:b/>
          <w:bCs/>
          <w:caps/>
          <w:color w:val="010000"/>
          <w:szCs w:val="26"/>
        </w:rPr>
        <w:t>ANAYASA MAHKEMESİ KARARI</w:t>
      </w:r>
    </w:p>
    <w:p w:rsidR="00C0332C" w:rsidRPr="00C0332C" w:rsidRDefault="00C0332C" w:rsidP="00C0332C">
      <w:pPr>
        <w:spacing w:after="200"/>
        <w:ind w:left="283" w:right="283" w:firstLine="709"/>
        <w:jc w:val="center"/>
        <w:rPr>
          <w:b/>
          <w:caps/>
          <w:color w:val="010000"/>
        </w:rPr>
      </w:pPr>
    </w:p>
    <w:p w:rsidR="00C0332C" w:rsidRDefault="00C0332C" w:rsidP="00C0332C">
      <w:pPr>
        <w:rPr>
          <w:b/>
          <w:bCs/>
          <w:color w:val="010000"/>
          <w:szCs w:val="26"/>
        </w:rPr>
      </w:pPr>
      <w:r>
        <w:rPr>
          <w:b/>
          <w:bCs/>
          <w:color w:val="010000"/>
          <w:szCs w:val="26"/>
        </w:rPr>
        <w:t>Esas Sayısı:2001/26 (Siyasî Parti Malî Denetimi)</w:t>
      </w:r>
    </w:p>
    <w:p w:rsidR="00C0332C" w:rsidRDefault="00C0332C" w:rsidP="00C0332C">
      <w:pPr>
        <w:rPr>
          <w:b/>
          <w:color w:val="010000"/>
        </w:rPr>
      </w:pPr>
      <w:r>
        <w:rPr>
          <w:b/>
          <w:color w:val="010000"/>
        </w:rPr>
        <w:t>Karar Sayısı:2008/68</w:t>
      </w:r>
    </w:p>
    <w:p w:rsidR="00C0332C" w:rsidRDefault="00C0332C" w:rsidP="00C0332C">
      <w:pPr>
        <w:rPr>
          <w:b/>
          <w:color w:val="010000"/>
        </w:rPr>
      </w:pPr>
      <w:r>
        <w:rPr>
          <w:b/>
          <w:color w:val="010000"/>
        </w:rPr>
        <w:t>Karar Günü:29.4.2008</w:t>
      </w:r>
    </w:p>
    <w:p w:rsidR="00C0332C" w:rsidRDefault="00C0332C" w:rsidP="00C0332C">
      <w:pPr>
        <w:rPr>
          <w:b/>
          <w:color w:val="010000"/>
        </w:rPr>
      </w:pPr>
      <w:r>
        <w:rPr>
          <w:b/>
          <w:color w:val="010000"/>
        </w:rPr>
        <w:t>R.G. Tarih-Sayı:17.05.2008-26879</w:t>
      </w:r>
    </w:p>
    <w:p w:rsidR="00C0332C" w:rsidRPr="00C0332C" w:rsidRDefault="00C0332C" w:rsidP="00C0332C">
      <w:pPr>
        <w:rPr>
          <w:b/>
          <w:color w:val="010000"/>
        </w:rPr>
      </w:pPr>
    </w:p>
    <w:p w:rsidR="00C0332C" w:rsidRPr="00C0332C" w:rsidRDefault="00C0332C" w:rsidP="00C0332C">
      <w:pPr>
        <w:spacing w:after="200"/>
        <w:ind w:left="283" w:right="283" w:firstLine="709"/>
        <w:jc w:val="both"/>
        <w:rPr>
          <w:color w:val="010000"/>
        </w:rPr>
      </w:pPr>
      <w:r w:rsidRPr="00C0332C">
        <w:rPr>
          <w:b/>
          <w:bCs/>
          <w:color w:val="010000"/>
          <w:szCs w:val="26"/>
        </w:rPr>
        <w:t>I- MALİ DENETİMİN KONUSU</w:t>
      </w:r>
      <w:r w:rsidRPr="00C0332C">
        <w:rPr>
          <w:color w:val="010000"/>
          <w:szCs w:val="26"/>
        </w:rPr>
        <w:t xml:space="preserve"> </w:t>
      </w:r>
    </w:p>
    <w:p w:rsidR="00C0332C" w:rsidRPr="00C0332C" w:rsidRDefault="00C0332C" w:rsidP="00C0332C">
      <w:pPr>
        <w:spacing w:after="200"/>
        <w:ind w:left="283" w:right="283" w:firstLine="709"/>
        <w:jc w:val="both"/>
        <w:rPr>
          <w:color w:val="010000"/>
        </w:rPr>
      </w:pPr>
      <w:r w:rsidRPr="00C0332C">
        <w:rPr>
          <w:color w:val="010000"/>
          <w:szCs w:val="26"/>
        </w:rPr>
        <w:t xml:space="preserve">Millet Partisi'nin 2000 yılı </w:t>
      </w:r>
      <w:proofErr w:type="spellStart"/>
      <w:r w:rsidRPr="00C0332C">
        <w:rPr>
          <w:color w:val="010000"/>
          <w:szCs w:val="26"/>
        </w:rPr>
        <w:t>kesinhesabının</w:t>
      </w:r>
      <w:proofErr w:type="spellEnd"/>
      <w:r w:rsidRPr="00C0332C">
        <w:rPr>
          <w:color w:val="010000"/>
          <w:szCs w:val="26"/>
        </w:rPr>
        <w:t xml:space="preserve"> incelenmesidir.</w:t>
      </w:r>
    </w:p>
    <w:p w:rsidR="00C0332C" w:rsidRPr="00C0332C" w:rsidRDefault="00C0332C" w:rsidP="00C0332C">
      <w:pPr>
        <w:spacing w:after="200"/>
        <w:ind w:left="283" w:right="283" w:firstLine="709"/>
        <w:jc w:val="both"/>
        <w:rPr>
          <w:color w:val="010000"/>
        </w:rPr>
      </w:pPr>
      <w:r w:rsidRPr="00C0332C">
        <w:rPr>
          <w:b/>
          <w:bCs/>
          <w:color w:val="010000"/>
          <w:szCs w:val="26"/>
        </w:rPr>
        <w:t xml:space="preserve">II- İLK İNCELEME </w:t>
      </w:r>
    </w:p>
    <w:p w:rsidR="00C0332C" w:rsidRPr="00C0332C" w:rsidRDefault="00C0332C" w:rsidP="00C0332C">
      <w:pPr>
        <w:spacing w:after="200"/>
        <w:ind w:left="283" w:right="283" w:firstLine="709"/>
        <w:jc w:val="both"/>
        <w:rPr>
          <w:color w:val="010000"/>
        </w:rPr>
      </w:pPr>
      <w:r w:rsidRPr="00C0332C">
        <w:rPr>
          <w:color w:val="010000"/>
          <w:szCs w:val="26"/>
        </w:rPr>
        <w:t xml:space="preserve">Anayasa Mahkemesi İçtüzüğünün 16. maddesi uyarınca, Mustafa BUMİN, Haşim KILIÇ, </w:t>
      </w:r>
      <w:proofErr w:type="spellStart"/>
      <w:r w:rsidRPr="00C0332C">
        <w:rPr>
          <w:color w:val="010000"/>
          <w:szCs w:val="26"/>
        </w:rPr>
        <w:t>Samia</w:t>
      </w:r>
      <w:proofErr w:type="spellEnd"/>
      <w:r w:rsidRPr="00C0332C">
        <w:rPr>
          <w:color w:val="010000"/>
          <w:szCs w:val="26"/>
        </w:rPr>
        <w:t xml:space="preserve"> AKBULUT, Yalçın ACARGÜN, </w:t>
      </w:r>
      <w:proofErr w:type="spellStart"/>
      <w:r w:rsidRPr="00C0332C">
        <w:rPr>
          <w:color w:val="010000"/>
          <w:szCs w:val="26"/>
        </w:rPr>
        <w:t>Sacit</w:t>
      </w:r>
      <w:proofErr w:type="spellEnd"/>
      <w:r w:rsidRPr="00C0332C">
        <w:rPr>
          <w:color w:val="010000"/>
          <w:szCs w:val="26"/>
        </w:rPr>
        <w:t xml:space="preserve"> ADALI, Fulya KANTARCIOĞLU, Aysel PEKİNER, Ertuğrul ERSOY, Tülay TUĞCU, Ahmet AKYALÇIN ve Mehmet </w:t>
      </w:r>
      <w:proofErr w:type="spellStart"/>
      <w:r w:rsidRPr="00C0332C">
        <w:rPr>
          <w:color w:val="010000"/>
          <w:szCs w:val="26"/>
        </w:rPr>
        <w:t>ERTEN'in</w:t>
      </w:r>
      <w:proofErr w:type="spellEnd"/>
      <w:r w:rsidRPr="00C0332C">
        <w:rPr>
          <w:color w:val="010000"/>
          <w:szCs w:val="26"/>
        </w:rPr>
        <w:t xml:space="preserve"> katılımıyla 22.10.2003 gününde yapılan ilk inceleme toplantısında;</w:t>
      </w:r>
    </w:p>
    <w:p w:rsidR="00C0332C" w:rsidRPr="00C0332C" w:rsidRDefault="00C0332C" w:rsidP="00C0332C">
      <w:pPr>
        <w:spacing w:after="200"/>
        <w:ind w:left="283" w:right="283" w:firstLine="709"/>
        <w:jc w:val="both"/>
        <w:rPr>
          <w:color w:val="010000"/>
        </w:rPr>
      </w:pPr>
      <w:r w:rsidRPr="00C0332C">
        <w:rPr>
          <w:b/>
          <w:bCs/>
          <w:color w:val="010000"/>
          <w:szCs w:val="26"/>
        </w:rPr>
        <w:t>'</w:t>
      </w:r>
      <w:r w:rsidRPr="00C0332C">
        <w:rPr>
          <w:color w:val="010000"/>
          <w:szCs w:val="26"/>
        </w:rPr>
        <w:t xml:space="preserve">Millet Partisi'nin 2000 yılı </w:t>
      </w:r>
      <w:proofErr w:type="spellStart"/>
      <w:r w:rsidRPr="00C0332C">
        <w:rPr>
          <w:color w:val="010000"/>
          <w:szCs w:val="26"/>
        </w:rPr>
        <w:t>kesinhesabının</w:t>
      </w:r>
      <w:proofErr w:type="spellEnd"/>
      <w:r w:rsidRPr="00C0332C">
        <w:rPr>
          <w:color w:val="010000"/>
          <w:szCs w:val="26"/>
        </w:rPr>
        <w:t xml:space="preserve"> ilk incelemesi sonucunda;</w:t>
      </w:r>
    </w:p>
    <w:p w:rsidR="00C0332C" w:rsidRPr="00C0332C" w:rsidRDefault="00C0332C" w:rsidP="00C0332C">
      <w:pPr>
        <w:overflowPunct w:val="0"/>
        <w:autoSpaceDE w:val="0"/>
        <w:autoSpaceDN w:val="0"/>
        <w:spacing w:after="200"/>
        <w:ind w:left="283" w:right="283" w:firstLine="709"/>
        <w:jc w:val="both"/>
        <w:rPr>
          <w:color w:val="010000"/>
        </w:rPr>
      </w:pPr>
      <w:r w:rsidRPr="00C0332C">
        <w:rPr>
          <w:color w:val="010000"/>
          <w:szCs w:val="26"/>
        </w:rPr>
        <w:t xml:space="preserve">1- İller </w:t>
      </w:r>
      <w:proofErr w:type="spellStart"/>
      <w:r w:rsidRPr="00C0332C">
        <w:rPr>
          <w:color w:val="010000"/>
          <w:szCs w:val="26"/>
        </w:rPr>
        <w:t>kesinhesap</w:t>
      </w:r>
      <w:proofErr w:type="spellEnd"/>
      <w:r w:rsidRPr="00C0332C">
        <w:rPr>
          <w:color w:val="010000"/>
          <w:szCs w:val="26"/>
        </w:rPr>
        <w:t xml:space="preserve"> cetvellerinde ve birleşik </w:t>
      </w:r>
      <w:proofErr w:type="spellStart"/>
      <w:r w:rsidRPr="00C0332C">
        <w:rPr>
          <w:color w:val="010000"/>
          <w:szCs w:val="26"/>
        </w:rPr>
        <w:t>kesinhesap</w:t>
      </w:r>
      <w:proofErr w:type="spellEnd"/>
      <w:r w:rsidRPr="00C0332C">
        <w:rPr>
          <w:color w:val="010000"/>
          <w:szCs w:val="26"/>
        </w:rPr>
        <w:t xml:space="preserve"> cetvelinde 'geçen yıldan devreden para' hesabı altında gösterilen ve 1999 yılından devreden miktarlar, 1999 yılı </w:t>
      </w:r>
      <w:proofErr w:type="spellStart"/>
      <w:r w:rsidRPr="00C0332C">
        <w:rPr>
          <w:color w:val="010000"/>
          <w:szCs w:val="26"/>
        </w:rPr>
        <w:t>kesinhesabında</w:t>
      </w:r>
      <w:proofErr w:type="spellEnd"/>
      <w:r w:rsidRPr="00C0332C">
        <w:rPr>
          <w:color w:val="010000"/>
          <w:szCs w:val="26"/>
        </w:rPr>
        <w:t xml:space="preserve"> 'sonraki yıla devreden para' miktarlarını tutmadığından, devir miktarları doğru olarak yeniden düzenlenecek </w:t>
      </w:r>
      <w:proofErr w:type="spellStart"/>
      <w:r w:rsidRPr="00C0332C">
        <w:rPr>
          <w:color w:val="010000"/>
          <w:szCs w:val="26"/>
        </w:rPr>
        <w:t>kesinhesabın</w:t>
      </w:r>
      <w:proofErr w:type="spellEnd"/>
      <w:r w:rsidRPr="00C0332C">
        <w:rPr>
          <w:color w:val="010000"/>
          <w:szCs w:val="26"/>
        </w:rPr>
        <w:t>,</w:t>
      </w:r>
    </w:p>
    <w:p w:rsidR="00C0332C" w:rsidRPr="00C0332C" w:rsidRDefault="00C0332C" w:rsidP="00C0332C">
      <w:pPr>
        <w:overflowPunct w:val="0"/>
        <w:autoSpaceDE w:val="0"/>
        <w:autoSpaceDN w:val="0"/>
        <w:spacing w:after="200"/>
        <w:ind w:left="283" w:right="283" w:firstLine="709"/>
        <w:jc w:val="both"/>
        <w:rPr>
          <w:color w:val="010000"/>
        </w:rPr>
      </w:pPr>
      <w:r w:rsidRPr="00C0332C">
        <w:rPr>
          <w:color w:val="010000"/>
          <w:szCs w:val="26"/>
        </w:rPr>
        <w:t>2- Parti'nin 2000 yılı hesap döneminde edindiği değeri yüz milyon lirayı aşan taşınır malların, menkul kıymetlerin ve her türlü hakların değerleri ile edinim biçimi ve tarihlerini de gösteren listelerin,</w:t>
      </w:r>
    </w:p>
    <w:p w:rsidR="00C0332C" w:rsidRPr="00C0332C" w:rsidRDefault="00C0332C" w:rsidP="00C0332C">
      <w:pPr>
        <w:spacing w:after="200"/>
        <w:ind w:left="283" w:right="283" w:firstLine="709"/>
        <w:jc w:val="both"/>
        <w:rPr>
          <w:color w:val="010000"/>
        </w:rPr>
      </w:pPr>
      <w:r w:rsidRPr="00C0332C">
        <w:rPr>
          <w:color w:val="010000"/>
          <w:szCs w:val="26"/>
        </w:rPr>
        <w:t>2820 sayılı Siyasî Partiler Yasası'nın 74. maddesi uyarınca Parti'den istenmesine, kararın tebliği tarihinden itibaren 30 gün süre verilmesine 22.10.2003 gününde OYBİRLİĞİYLE' karar verilmiştir.</w:t>
      </w:r>
    </w:p>
    <w:p w:rsidR="00C0332C" w:rsidRPr="00C0332C" w:rsidRDefault="00C0332C" w:rsidP="00C0332C">
      <w:pPr>
        <w:spacing w:after="200"/>
        <w:ind w:left="283" w:right="283" w:firstLine="709"/>
        <w:jc w:val="both"/>
        <w:rPr>
          <w:color w:val="010000"/>
        </w:rPr>
      </w:pPr>
      <w:r w:rsidRPr="00C0332C">
        <w:rPr>
          <w:color w:val="010000"/>
          <w:szCs w:val="26"/>
        </w:rPr>
        <w:t>Ara kararda istenen eksiklikler giderildiğinden işin esasının incelenmesine OYBİRLİĞİYLE karar verilmiştir.</w:t>
      </w:r>
    </w:p>
    <w:p w:rsidR="00C0332C" w:rsidRPr="00C0332C" w:rsidRDefault="00C0332C" w:rsidP="00C0332C">
      <w:pPr>
        <w:spacing w:after="200"/>
        <w:ind w:left="283" w:right="283" w:firstLine="709"/>
        <w:jc w:val="both"/>
        <w:rPr>
          <w:color w:val="010000"/>
        </w:rPr>
      </w:pPr>
      <w:r w:rsidRPr="00C0332C">
        <w:rPr>
          <w:b/>
          <w:bCs/>
          <w:color w:val="010000"/>
          <w:szCs w:val="26"/>
        </w:rPr>
        <w:t>III- ESASIN İNCELENMESİ</w:t>
      </w:r>
    </w:p>
    <w:p w:rsidR="00C0332C" w:rsidRPr="00C0332C" w:rsidRDefault="00C0332C" w:rsidP="00C0332C">
      <w:pPr>
        <w:spacing w:after="200"/>
        <w:ind w:left="283" w:right="283" w:firstLine="709"/>
        <w:jc w:val="both"/>
        <w:rPr>
          <w:color w:val="010000"/>
        </w:rPr>
      </w:pPr>
      <w:r w:rsidRPr="00C0332C">
        <w:rPr>
          <w:color w:val="010000"/>
          <w:szCs w:val="26"/>
        </w:rPr>
        <w:t xml:space="preserve">Parti'nin Anayasa Mahkemesi'ne verdiği 2000 yılı </w:t>
      </w:r>
      <w:proofErr w:type="spellStart"/>
      <w:r w:rsidRPr="00C0332C">
        <w:rPr>
          <w:color w:val="010000"/>
          <w:szCs w:val="26"/>
        </w:rPr>
        <w:t>kesinhesap</w:t>
      </w:r>
      <w:proofErr w:type="spellEnd"/>
      <w:r w:rsidRPr="00C0332C">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C0332C" w:rsidRPr="00C0332C" w:rsidRDefault="00C0332C" w:rsidP="00C0332C">
      <w:pPr>
        <w:spacing w:after="200"/>
        <w:ind w:left="283" w:right="283" w:firstLine="709"/>
        <w:jc w:val="both"/>
        <w:rPr>
          <w:color w:val="010000"/>
        </w:rPr>
      </w:pPr>
      <w:r w:rsidRPr="00C0332C">
        <w:rPr>
          <w:color w:val="010000"/>
          <w:szCs w:val="26"/>
        </w:rPr>
        <w:t xml:space="preserve">Denetimin maddi öğelerini oluşturan defter ve belgelerde Millet Partisi Genel Merkezi ile il örgütlerinin 2000 yılı gelirleri toplamının 64.825.535.526.- TL, giderleri toplamının 63.259.730.808.- TL, ödenecek vergi ve SSK priminin 156.685.504.- TL olduğu, 1.409.119.214.- liranın nakit mevcudu olarak 2001 yılına devrettiği anlaşılmaktadır. </w:t>
      </w:r>
    </w:p>
    <w:p w:rsidR="00C0332C" w:rsidRPr="00C0332C" w:rsidRDefault="00C0332C" w:rsidP="00C0332C">
      <w:pPr>
        <w:spacing w:after="200"/>
        <w:ind w:left="283" w:right="283" w:firstLine="709"/>
        <w:jc w:val="both"/>
        <w:rPr>
          <w:color w:val="010000"/>
        </w:rPr>
      </w:pPr>
      <w:r w:rsidRPr="00C0332C">
        <w:rPr>
          <w:b/>
          <w:bCs/>
          <w:color w:val="010000"/>
          <w:szCs w:val="26"/>
        </w:rPr>
        <w:t>A- Gelirlerin İncelenmesi</w:t>
      </w:r>
    </w:p>
    <w:p w:rsidR="00C0332C" w:rsidRPr="00C0332C" w:rsidRDefault="00C0332C" w:rsidP="00C0332C">
      <w:pPr>
        <w:spacing w:after="200"/>
        <w:ind w:left="283" w:right="283" w:firstLine="709"/>
        <w:jc w:val="both"/>
        <w:rPr>
          <w:color w:val="010000"/>
        </w:rPr>
      </w:pPr>
      <w:r w:rsidRPr="00C0332C">
        <w:rPr>
          <w:b/>
          <w:bCs/>
          <w:color w:val="010000"/>
          <w:szCs w:val="26"/>
        </w:rPr>
        <w:t>1- Genel Merkez Gelirleri</w:t>
      </w:r>
    </w:p>
    <w:p w:rsidR="00C0332C" w:rsidRPr="00C0332C" w:rsidRDefault="00C0332C" w:rsidP="00C0332C">
      <w:pPr>
        <w:spacing w:after="200"/>
        <w:ind w:left="283" w:right="283" w:firstLine="709"/>
        <w:jc w:val="both"/>
        <w:rPr>
          <w:color w:val="010000"/>
        </w:rPr>
      </w:pPr>
      <w:r w:rsidRPr="00C0332C">
        <w:rPr>
          <w:color w:val="010000"/>
          <w:szCs w:val="26"/>
        </w:rPr>
        <w:lastRenderedPageBreak/>
        <w:t>Parti Genel Merkezi'nin gelirleri 19.821.819.993.- TL olarak gösterilmiştir.</w:t>
      </w:r>
    </w:p>
    <w:p w:rsidR="00C0332C" w:rsidRPr="00C0332C" w:rsidRDefault="00C0332C" w:rsidP="00C0332C">
      <w:pPr>
        <w:spacing w:after="200"/>
        <w:ind w:left="283" w:right="283" w:firstLine="709"/>
        <w:jc w:val="both"/>
        <w:rPr>
          <w:color w:val="010000"/>
        </w:rPr>
      </w:pPr>
      <w:r w:rsidRPr="00C0332C">
        <w:rPr>
          <w:color w:val="010000"/>
          <w:szCs w:val="26"/>
        </w:rPr>
        <w:t>Bunun 8.500.000.000- lirası aidat gelirleri, 10.650.000.000.- lirası bağış, 99.900.000.- lirası diğer gelirler, 571.919.993.- lirası 1999 yılından devreden kasa ve banka mevcudundan oluşmaktadır.</w:t>
      </w:r>
    </w:p>
    <w:p w:rsidR="00C0332C" w:rsidRPr="00C0332C" w:rsidRDefault="00C0332C" w:rsidP="00C0332C">
      <w:pPr>
        <w:spacing w:after="200"/>
        <w:ind w:left="283" w:right="283" w:firstLine="709"/>
        <w:jc w:val="both"/>
        <w:rPr>
          <w:color w:val="010000"/>
        </w:rPr>
      </w:pPr>
      <w:r w:rsidRPr="00C0332C">
        <w:rPr>
          <w:color w:val="010000"/>
          <w:szCs w:val="26"/>
        </w:rPr>
        <w:t>Genel Merkezin 2000 yılı defter kayıtları ve gelir belgeleri üzerinde yapılan incelemede, gelirlerinin 2820 sayılı Yasa'ya uygun olarak sağlandığı sonucuna varılmıştır.</w:t>
      </w:r>
    </w:p>
    <w:p w:rsidR="00C0332C" w:rsidRPr="00C0332C" w:rsidRDefault="00C0332C" w:rsidP="00C0332C">
      <w:pPr>
        <w:spacing w:after="200"/>
        <w:ind w:left="283" w:right="283" w:firstLine="709"/>
        <w:jc w:val="both"/>
        <w:rPr>
          <w:color w:val="010000"/>
        </w:rPr>
      </w:pPr>
      <w:r w:rsidRPr="00C0332C">
        <w:rPr>
          <w:color w:val="010000"/>
          <w:szCs w:val="26"/>
        </w:rPr>
        <w:t xml:space="preserve">Parti Genel Merkezi'nin 2000 yılı muhasebe kayıtlarının tutulduğu yevmiye ve defteri kebir Ankara </w:t>
      </w:r>
      <w:proofErr w:type="gramStart"/>
      <w:r w:rsidRPr="00C0332C">
        <w:rPr>
          <w:color w:val="010000"/>
          <w:szCs w:val="26"/>
        </w:rPr>
        <w:t>31inci</w:t>
      </w:r>
      <w:proofErr w:type="gramEnd"/>
      <w:r w:rsidRPr="00C0332C">
        <w:rPr>
          <w:color w:val="010000"/>
          <w:szCs w:val="26"/>
        </w:rPr>
        <w:t xml:space="preserve"> noteri tarafından mühürlenmiş ve onaylanmıştır.</w:t>
      </w:r>
    </w:p>
    <w:p w:rsidR="00C0332C" w:rsidRPr="00C0332C" w:rsidRDefault="00C0332C" w:rsidP="00C0332C">
      <w:pPr>
        <w:spacing w:after="200"/>
        <w:ind w:left="283" w:right="283" w:firstLine="709"/>
        <w:jc w:val="both"/>
        <w:rPr>
          <w:color w:val="010000"/>
        </w:rPr>
      </w:pPr>
      <w:r w:rsidRPr="00C0332C">
        <w:rPr>
          <w:color w:val="010000"/>
          <w:szCs w:val="26"/>
        </w:rPr>
        <w:t xml:space="preserve">2820 sayılı Kanun'un 60. maddesinin altıncı fıkrasında </w:t>
      </w:r>
      <w:r w:rsidRPr="00C0332C">
        <w:rPr>
          <w:i/>
          <w:iCs/>
          <w:color w:val="010000"/>
          <w:szCs w:val="26"/>
        </w:rPr>
        <w:t>'Bütün defterlerin sayfaları ve kaç sayfadan ibaret oldukları teşkilatın bulunduğu ilgili seçim kurulu başkanı tarafından mühürlenir ve tasdik edilir.',</w:t>
      </w:r>
      <w:r w:rsidRPr="00C0332C">
        <w:rPr>
          <w:color w:val="010000"/>
          <w:szCs w:val="26"/>
        </w:rPr>
        <w:t xml:space="preserve"> aynı Kanun'un 113. maddesinde </w:t>
      </w:r>
      <w:r w:rsidRPr="00C0332C">
        <w:rPr>
          <w:i/>
          <w:iCs/>
          <w:color w:val="010000"/>
          <w:szCs w:val="26"/>
        </w:rPr>
        <w:t xml:space="preserve">'Bu Kanunun 60 </w:t>
      </w:r>
      <w:proofErr w:type="spellStart"/>
      <w:r w:rsidRPr="00C0332C">
        <w:rPr>
          <w:i/>
          <w:iCs/>
          <w:color w:val="010000"/>
          <w:szCs w:val="26"/>
        </w:rPr>
        <w:t>ıncı</w:t>
      </w:r>
      <w:proofErr w:type="spellEnd"/>
      <w:r w:rsidRPr="00C0332C">
        <w:rPr>
          <w:i/>
          <w:iCs/>
          <w:color w:val="010000"/>
          <w:szCs w:val="26"/>
        </w:rPr>
        <w:t xml:space="preserve"> maddesinde yazılı </w:t>
      </w:r>
      <w:proofErr w:type="gramStart"/>
      <w:r w:rsidRPr="00C0332C">
        <w:rPr>
          <w:i/>
          <w:iCs/>
          <w:color w:val="010000"/>
          <w:szCs w:val="26"/>
        </w:rPr>
        <w:t>defter</w:t>
      </w:r>
      <w:proofErr w:type="gramEnd"/>
      <w:r w:rsidRPr="00C0332C">
        <w:rPr>
          <w:i/>
          <w:iCs/>
          <w:color w:val="010000"/>
          <w:szCs w:val="26"/>
        </w:rPr>
        <w:t xml:space="preserve"> ve kayıtları tutmayanlar ,altı aydan bir yıla, bu defter ve kayıtları tahrif veya yok edenler veya </w:t>
      </w:r>
      <w:proofErr w:type="spellStart"/>
      <w:r w:rsidRPr="00C0332C">
        <w:rPr>
          <w:i/>
          <w:iCs/>
          <w:color w:val="010000"/>
          <w:szCs w:val="26"/>
        </w:rPr>
        <w:t>gizleyenler,bir</w:t>
      </w:r>
      <w:proofErr w:type="spellEnd"/>
      <w:r w:rsidRPr="00C0332C">
        <w:rPr>
          <w:i/>
          <w:iCs/>
          <w:color w:val="010000"/>
          <w:szCs w:val="26"/>
        </w:rPr>
        <w:t xml:space="preserve"> yıldan üç yıla kadar hapis cezası ile cezalandırılırlar.' </w:t>
      </w:r>
      <w:r w:rsidRPr="00C0332C">
        <w:rPr>
          <w:color w:val="010000"/>
          <w:szCs w:val="26"/>
        </w:rPr>
        <w:t xml:space="preserve">denildiğinden, defterleri ilçe seçim kurulu yerine notere tasdik ettiren Parti hakkında Yargıtay Cumhuriyet Başsavcılığı'na suç duyurusunda bulunulmasına Haşim KILIÇ, Osman </w:t>
      </w:r>
      <w:proofErr w:type="spellStart"/>
      <w:r w:rsidRPr="00C0332C">
        <w:rPr>
          <w:color w:val="010000"/>
          <w:szCs w:val="26"/>
        </w:rPr>
        <w:t>Alifeyyaz</w:t>
      </w:r>
      <w:proofErr w:type="spellEnd"/>
      <w:r w:rsidRPr="00C0332C">
        <w:rPr>
          <w:color w:val="010000"/>
          <w:szCs w:val="26"/>
        </w:rPr>
        <w:t xml:space="preserve"> PAKSÜT, </w:t>
      </w:r>
      <w:proofErr w:type="spellStart"/>
      <w:r w:rsidRPr="00C0332C">
        <w:rPr>
          <w:color w:val="010000"/>
          <w:szCs w:val="26"/>
        </w:rPr>
        <w:t>Sacit</w:t>
      </w:r>
      <w:proofErr w:type="spellEnd"/>
      <w:r w:rsidRPr="00C0332C">
        <w:rPr>
          <w:color w:val="010000"/>
          <w:szCs w:val="26"/>
        </w:rPr>
        <w:t xml:space="preserve"> ADALI ve Fulya </w:t>
      </w:r>
      <w:proofErr w:type="spellStart"/>
      <w:r w:rsidRPr="00C0332C">
        <w:rPr>
          <w:color w:val="010000"/>
          <w:szCs w:val="26"/>
        </w:rPr>
        <w:t>KANTARCIOĞLU'nun</w:t>
      </w:r>
      <w:proofErr w:type="spellEnd"/>
      <w:r w:rsidRPr="00C0332C">
        <w:rPr>
          <w:color w:val="010000"/>
          <w:szCs w:val="26"/>
        </w:rPr>
        <w:t xml:space="preserve"> </w:t>
      </w:r>
      <w:proofErr w:type="spellStart"/>
      <w:r w:rsidRPr="00C0332C">
        <w:rPr>
          <w:color w:val="010000"/>
          <w:szCs w:val="26"/>
        </w:rPr>
        <w:t>karşıoyları</w:t>
      </w:r>
      <w:proofErr w:type="spellEnd"/>
      <w:r w:rsidRPr="00C0332C">
        <w:rPr>
          <w:color w:val="010000"/>
          <w:szCs w:val="26"/>
        </w:rPr>
        <w:t xml:space="preserve"> ve OYÇOKLUĞUYLA karar verildi. </w:t>
      </w:r>
    </w:p>
    <w:p w:rsidR="00C0332C" w:rsidRPr="00C0332C" w:rsidRDefault="00C0332C" w:rsidP="00C0332C">
      <w:pPr>
        <w:overflowPunct w:val="0"/>
        <w:autoSpaceDE w:val="0"/>
        <w:autoSpaceDN w:val="0"/>
        <w:spacing w:after="200"/>
        <w:ind w:left="283" w:right="283" w:firstLine="709"/>
        <w:jc w:val="both"/>
        <w:rPr>
          <w:color w:val="010000"/>
        </w:rPr>
      </w:pPr>
      <w:r w:rsidRPr="00C0332C">
        <w:rPr>
          <w:b/>
          <w:bCs/>
          <w:color w:val="010000"/>
          <w:szCs w:val="26"/>
        </w:rPr>
        <w:t>2- İl Örgütleri Gelirleri</w:t>
      </w:r>
    </w:p>
    <w:p w:rsidR="00C0332C" w:rsidRPr="00C0332C" w:rsidRDefault="00C0332C" w:rsidP="00C0332C">
      <w:pPr>
        <w:spacing w:after="200"/>
        <w:ind w:left="283" w:right="283" w:firstLine="709"/>
        <w:jc w:val="both"/>
        <w:rPr>
          <w:color w:val="010000"/>
        </w:rPr>
      </w:pPr>
      <w:r w:rsidRPr="00C0332C">
        <w:rPr>
          <w:color w:val="010000"/>
          <w:szCs w:val="26"/>
        </w:rPr>
        <w:t>Parti il örgütlerinin gelirleri 45.003.715.893.- TL olarak gösterilmiştir.</w:t>
      </w:r>
    </w:p>
    <w:p w:rsidR="00C0332C" w:rsidRPr="00C0332C" w:rsidRDefault="00C0332C" w:rsidP="00C0332C">
      <w:pPr>
        <w:spacing w:after="200"/>
        <w:ind w:left="283" w:right="283" w:firstLine="709"/>
        <w:jc w:val="both"/>
        <w:rPr>
          <w:color w:val="010000"/>
        </w:rPr>
      </w:pPr>
      <w:r w:rsidRPr="00C0332C">
        <w:rPr>
          <w:color w:val="010000"/>
          <w:szCs w:val="26"/>
        </w:rPr>
        <w:t>Bunun 21.358.027.500.- lirası aidat gelirleri, 22.851.278.774.- lirası bağış, 209.487.732.- lirası diğer gelirler ve 584.921.887.- lirası ise 1999 yılından devreden kasa mevcudundan oluşmaktadır.</w:t>
      </w:r>
    </w:p>
    <w:p w:rsidR="00C0332C" w:rsidRPr="00C0332C" w:rsidRDefault="00C0332C" w:rsidP="00C0332C">
      <w:pPr>
        <w:spacing w:after="200"/>
        <w:ind w:left="283" w:right="283" w:firstLine="709"/>
        <w:jc w:val="both"/>
        <w:rPr>
          <w:color w:val="010000"/>
        </w:rPr>
      </w:pPr>
      <w:r w:rsidRPr="00C0332C">
        <w:rPr>
          <w:color w:val="010000"/>
          <w:szCs w:val="26"/>
        </w:rPr>
        <w:t xml:space="preserve">İl örgütleri 2000 yılı </w:t>
      </w:r>
      <w:proofErr w:type="spellStart"/>
      <w:r w:rsidRPr="00C0332C">
        <w:rPr>
          <w:color w:val="010000"/>
          <w:szCs w:val="26"/>
        </w:rPr>
        <w:t>kesinhesap</w:t>
      </w:r>
      <w:proofErr w:type="spellEnd"/>
      <w:r w:rsidRPr="00C0332C">
        <w:rPr>
          <w:color w:val="010000"/>
          <w:szCs w:val="26"/>
        </w:rPr>
        <w:t xml:space="preserve"> çizelgelerinin gelir bölümü üzerinde yapılan incelemede, gelirlerin 2820 sayılı Yasa'ya uygun olduğu görülmektedir.</w:t>
      </w:r>
    </w:p>
    <w:p w:rsidR="00C0332C" w:rsidRPr="00C0332C" w:rsidRDefault="00C0332C" w:rsidP="00C0332C">
      <w:pPr>
        <w:spacing w:after="200"/>
        <w:ind w:left="283" w:right="283" w:firstLine="709"/>
        <w:jc w:val="both"/>
        <w:rPr>
          <w:color w:val="010000"/>
        </w:rPr>
      </w:pPr>
      <w:r w:rsidRPr="00C0332C">
        <w:rPr>
          <w:b/>
          <w:bCs/>
          <w:color w:val="010000"/>
          <w:szCs w:val="26"/>
        </w:rPr>
        <w:t>B- Giderlerin İncelenmesi</w:t>
      </w:r>
    </w:p>
    <w:p w:rsidR="00C0332C" w:rsidRPr="00C0332C" w:rsidRDefault="00C0332C" w:rsidP="00C0332C">
      <w:pPr>
        <w:spacing w:after="200"/>
        <w:ind w:left="283" w:right="283" w:firstLine="709"/>
        <w:jc w:val="both"/>
        <w:rPr>
          <w:color w:val="010000"/>
        </w:rPr>
      </w:pPr>
      <w:r w:rsidRPr="00C0332C">
        <w:rPr>
          <w:b/>
          <w:bCs/>
          <w:color w:val="010000"/>
          <w:szCs w:val="26"/>
        </w:rPr>
        <w:t>1- Genel Merkez Giderleri</w:t>
      </w:r>
    </w:p>
    <w:p w:rsidR="00C0332C" w:rsidRPr="00C0332C" w:rsidRDefault="00C0332C" w:rsidP="00C0332C">
      <w:pPr>
        <w:spacing w:after="200"/>
        <w:ind w:left="283" w:right="283" w:firstLine="709"/>
        <w:jc w:val="both"/>
        <w:rPr>
          <w:color w:val="010000"/>
        </w:rPr>
      </w:pPr>
      <w:r w:rsidRPr="00C0332C">
        <w:rPr>
          <w:color w:val="010000"/>
          <w:szCs w:val="26"/>
        </w:rPr>
        <w:t>Parti Genel Merkezin giderleri 19.221.054.496.- TL olarak gösterilmiştir.</w:t>
      </w:r>
    </w:p>
    <w:p w:rsidR="00C0332C" w:rsidRPr="00C0332C" w:rsidRDefault="00C0332C" w:rsidP="00C0332C">
      <w:pPr>
        <w:spacing w:after="200"/>
        <w:ind w:left="283" w:right="283" w:firstLine="709"/>
        <w:jc w:val="both"/>
        <w:rPr>
          <w:color w:val="010000"/>
        </w:rPr>
      </w:pPr>
      <w:r w:rsidRPr="00C0332C">
        <w:rPr>
          <w:color w:val="010000"/>
          <w:szCs w:val="26"/>
        </w:rPr>
        <w:t>Bunun 10.726.854.496.- lirası genel giderlerden ve 8.494.200.000.- lirası demirbaş giderlerinden oluşmaktadır.</w:t>
      </w:r>
    </w:p>
    <w:p w:rsidR="00C0332C" w:rsidRPr="00C0332C" w:rsidRDefault="00C0332C" w:rsidP="00C0332C">
      <w:pPr>
        <w:spacing w:after="200"/>
        <w:ind w:left="283" w:right="283" w:firstLine="709"/>
        <w:jc w:val="both"/>
        <w:rPr>
          <w:color w:val="010000"/>
        </w:rPr>
      </w:pPr>
      <w:r w:rsidRPr="00C0332C">
        <w:rPr>
          <w:color w:val="010000"/>
          <w:szCs w:val="26"/>
        </w:rPr>
        <w:t>Parti Genel Merkezi'nin 2001 yılına devreden kasa ve banka mevcudu 444.079.993.- liradır.</w:t>
      </w:r>
    </w:p>
    <w:p w:rsidR="00C0332C" w:rsidRPr="00C0332C" w:rsidRDefault="00C0332C" w:rsidP="00C0332C">
      <w:pPr>
        <w:spacing w:after="200"/>
        <w:ind w:left="283" w:right="283" w:firstLine="709"/>
        <w:jc w:val="both"/>
        <w:rPr>
          <w:color w:val="010000"/>
        </w:rPr>
      </w:pPr>
      <w:r w:rsidRPr="00C0332C">
        <w:rPr>
          <w:color w:val="010000"/>
          <w:szCs w:val="26"/>
        </w:rPr>
        <w:t xml:space="preserve">Parti Genel Merkezi'nin 2000 yılı defter kayıtları ve gider belgeleri üzerinde yapılan incelemede, giderlerin 2820 sayılı Yasa'ya uygun olarak gerçekleştirildiği sonucuna varılmıştır. </w:t>
      </w:r>
    </w:p>
    <w:p w:rsidR="00C0332C" w:rsidRPr="00C0332C" w:rsidRDefault="00C0332C" w:rsidP="00C0332C">
      <w:pPr>
        <w:spacing w:after="200"/>
        <w:ind w:left="283" w:right="283" w:firstLine="709"/>
        <w:jc w:val="both"/>
        <w:rPr>
          <w:color w:val="010000"/>
        </w:rPr>
      </w:pPr>
      <w:r w:rsidRPr="00C0332C">
        <w:rPr>
          <w:b/>
          <w:bCs/>
          <w:color w:val="010000"/>
          <w:szCs w:val="26"/>
        </w:rPr>
        <w:t>2- İl Örgütleri Giderleri</w:t>
      </w:r>
    </w:p>
    <w:p w:rsidR="00C0332C" w:rsidRPr="00C0332C" w:rsidRDefault="00C0332C" w:rsidP="00C0332C">
      <w:pPr>
        <w:spacing w:after="200"/>
        <w:ind w:left="283" w:right="283" w:firstLine="709"/>
        <w:jc w:val="both"/>
        <w:rPr>
          <w:color w:val="010000"/>
        </w:rPr>
      </w:pPr>
      <w:r w:rsidRPr="00C0332C">
        <w:rPr>
          <w:color w:val="010000"/>
          <w:szCs w:val="26"/>
        </w:rPr>
        <w:t>Parti il örgütlerinin giderleri 44.038.676.312.- TL olarak gösterilmiştir.</w:t>
      </w:r>
    </w:p>
    <w:p w:rsidR="00C0332C" w:rsidRPr="00C0332C" w:rsidRDefault="00C0332C" w:rsidP="00C0332C">
      <w:pPr>
        <w:spacing w:after="200"/>
        <w:ind w:left="283" w:right="283" w:firstLine="709"/>
        <w:jc w:val="both"/>
        <w:rPr>
          <w:color w:val="010000"/>
        </w:rPr>
      </w:pPr>
      <w:r w:rsidRPr="00C0332C">
        <w:rPr>
          <w:color w:val="010000"/>
          <w:szCs w:val="26"/>
        </w:rPr>
        <w:t xml:space="preserve">Bunun 41.701.798.312.- lirası genel giderler, 420.000.000.- lirası demirbaş giderleri, 1.916.878.000.- lirası diğer giderlerden oluşmaktadır. </w:t>
      </w:r>
    </w:p>
    <w:p w:rsidR="00C0332C" w:rsidRPr="00C0332C" w:rsidRDefault="00C0332C" w:rsidP="00C0332C">
      <w:pPr>
        <w:spacing w:after="200"/>
        <w:ind w:left="283" w:right="283" w:firstLine="709"/>
        <w:jc w:val="both"/>
        <w:rPr>
          <w:color w:val="010000"/>
        </w:rPr>
      </w:pPr>
      <w:r w:rsidRPr="00C0332C">
        <w:rPr>
          <w:color w:val="010000"/>
          <w:szCs w:val="26"/>
        </w:rPr>
        <w:t>Parti il örgütlerinin 2001 yılına devreden kasa mevcudu 965.039.221.- liradır.</w:t>
      </w:r>
    </w:p>
    <w:p w:rsidR="00C0332C" w:rsidRPr="00C0332C" w:rsidRDefault="00C0332C" w:rsidP="00C0332C">
      <w:pPr>
        <w:spacing w:after="200"/>
        <w:ind w:left="283" w:right="283" w:firstLine="709"/>
        <w:jc w:val="both"/>
        <w:rPr>
          <w:color w:val="010000"/>
        </w:rPr>
      </w:pPr>
      <w:r w:rsidRPr="00C0332C">
        <w:rPr>
          <w:color w:val="010000"/>
          <w:szCs w:val="26"/>
        </w:rPr>
        <w:lastRenderedPageBreak/>
        <w:t xml:space="preserve">Parti il örgütlerinin 2000 yılı </w:t>
      </w:r>
      <w:proofErr w:type="spellStart"/>
      <w:r w:rsidRPr="00C0332C">
        <w:rPr>
          <w:color w:val="010000"/>
          <w:szCs w:val="26"/>
        </w:rPr>
        <w:t>kesinhesap</w:t>
      </w:r>
      <w:proofErr w:type="spellEnd"/>
      <w:r w:rsidRPr="00C0332C">
        <w:rPr>
          <w:color w:val="010000"/>
          <w:szCs w:val="26"/>
        </w:rPr>
        <w:t xml:space="preserve"> çizelgelerinin gider bölümü üzerinde yapılan incelemede, giderlerin 2820 sayılı Yasa'ya uygun olduğu sonucuna </w:t>
      </w:r>
      <w:proofErr w:type="gramStart"/>
      <w:r w:rsidRPr="00C0332C">
        <w:rPr>
          <w:color w:val="010000"/>
          <w:szCs w:val="26"/>
        </w:rPr>
        <w:t>varılmıştır..</w:t>
      </w:r>
      <w:proofErr w:type="gramEnd"/>
    </w:p>
    <w:p w:rsidR="00C0332C" w:rsidRPr="00C0332C" w:rsidRDefault="00C0332C" w:rsidP="00C0332C">
      <w:pPr>
        <w:spacing w:after="200"/>
        <w:ind w:left="283" w:right="283" w:firstLine="709"/>
        <w:jc w:val="both"/>
        <w:rPr>
          <w:color w:val="010000"/>
        </w:rPr>
      </w:pPr>
      <w:r w:rsidRPr="00C0332C">
        <w:rPr>
          <w:b/>
          <w:bCs/>
          <w:color w:val="010000"/>
          <w:szCs w:val="26"/>
        </w:rPr>
        <w:t>C- Parti Mallarının İncelenmesi</w:t>
      </w:r>
    </w:p>
    <w:p w:rsidR="00C0332C" w:rsidRPr="00C0332C" w:rsidRDefault="00C0332C" w:rsidP="00C0332C">
      <w:pPr>
        <w:spacing w:after="200"/>
        <w:ind w:left="283" w:right="283" w:firstLine="709"/>
        <w:jc w:val="both"/>
        <w:rPr>
          <w:color w:val="010000"/>
        </w:rPr>
      </w:pPr>
      <w:r w:rsidRPr="00C0332C">
        <w:rPr>
          <w:color w:val="010000"/>
          <w:szCs w:val="26"/>
        </w:rPr>
        <w:t>Parti'nin 2000 yılı defter ve belgeleri üzerinde yapılan incelemede taşınmaz mal ediniminin olmadığı anlaşılmaktadır.</w:t>
      </w:r>
    </w:p>
    <w:p w:rsidR="00C0332C" w:rsidRPr="00C0332C" w:rsidRDefault="00C0332C" w:rsidP="00C0332C">
      <w:pPr>
        <w:spacing w:after="200"/>
        <w:ind w:left="283" w:right="283" w:firstLine="709"/>
        <w:jc w:val="both"/>
        <w:rPr>
          <w:color w:val="010000"/>
        </w:rPr>
      </w:pPr>
      <w:r w:rsidRPr="00C0332C">
        <w:rPr>
          <w:color w:val="010000"/>
          <w:szCs w:val="26"/>
        </w:rPr>
        <w:t>Parti'nin 2000 yılı içinde edindiği 8.914.200.000.- TL tutarındaki taşınır malın Kanuna uygun olduğu sonucuna varılmıştır.</w:t>
      </w:r>
    </w:p>
    <w:p w:rsidR="00C0332C" w:rsidRPr="00C0332C" w:rsidRDefault="00C0332C" w:rsidP="00C0332C">
      <w:pPr>
        <w:overflowPunct w:val="0"/>
        <w:autoSpaceDE w:val="0"/>
        <w:autoSpaceDN w:val="0"/>
        <w:spacing w:after="200"/>
        <w:ind w:left="283" w:right="283" w:firstLine="709"/>
        <w:jc w:val="both"/>
        <w:rPr>
          <w:color w:val="010000"/>
        </w:rPr>
      </w:pPr>
      <w:r w:rsidRPr="00C0332C">
        <w:rPr>
          <w:b/>
          <w:bCs/>
          <w:color w:val="010000"/>
          <w:szCs w:val="26"/>
        </w:rPr>
        <w:t>IV- SONUÇ</w:t>
      </w:r>
    </w:p>
    <w:p w:rsidR="00C0332C" w:rsidRPr="00C0332C" w:rsidRDefault="00C0332C" w:rsidP="00C0332C">
      <w:pPr>
        <w:spacing w:after="200"/>
        <w:ind w:left="283" w:right="283" w:firstLine="709"/>
        <w:jc w:val="both"/>
        <w:rPr>
          <w:color w:val="010000"/>
        </w:rPr>
      </w:pPr>
      <w:r w:rsidRPr="00C0332C">
        <w:rPr>
          <w:color w:val="010000"/>
          <w:szCs w:val="26"/>
        </w:rPr>
        <w:t xml:space="preserve">Millet Partisi'nin 2000 yılı </w:t>
      </w:r>
      <w:proofErr w:type="spellStart"/>
      <w:r w:rsidRPr="00C0332C">
        <w:rPr>
          <w:color w:val="010000"/>
          <w:szCs w:val="26"/>
        </w:rPr>
        <w:t>kesinhesabının</w:t>
      </w:r>
      <w:proofErr w:type="spellEnd"/>
      <w:r w:rsidRPr="00C0332C">
        <w:rPr>
          <w:color w:val="010000"/>
          <w:szCs w:val="26"/>
        </w:rPr>
        <w:t xml:space="preserve"> incelenmesi sonucunda;</w:t>
      </w:r>
    </w:p>
    <w:p w:rsidR="00C0332C" w:rsidRPr="00C0332C" w:rsidRDefault="00C0332C" w:rsidP="00C0332C">
      <w:pPr>
        <w:spacing w:after="200"/>
        <w:ind w:left="283" w:right="283" w:firstLine="709"/>
        <w:jc w:val="both"/>
        <w:rPr>
          <w:color w:val="010000"/>
        </w:rPr>
      </w:pPr>
      <w:r w:rsidRPr="00C0332C">
        <w:rPr>
          <w:color w:val="010000"/>
          <w:szCs w:val="26"/>
        </w:rPr>
        <w:t xml:space="preserve">1- Parti'nin 2000 yılı </w:t>
      </w:r>
      <w:proofErr w:type="spellStart"/>
      <w:r w:rsidRPr="00C0332C">
        <w:rPr>
          <w:color w:val="010000"/>
          <w:szCs w:val="26"/>
        </w:rPr>
        <w:t>kesinhesabında</w:t>
      </w:r>
      <w:proofErr w:type="spellEnd"/>
      <w:r w:rsidRPr="00C0332C">
        <w:rPr>
          <w:color w:val="010000"/>
          <w:szCs w:val="26"/>
        </w:rPr>
        <w:t xml:space="preserve"> gösterilen 64.825.535.526.- TL gelir ve 63.259.730.808.- TL gider, 156.685.504.- TL ödenecek vergi ve SSK primi ile 1.409.119.214.- TL nakit devrinin eldeki bilgi ve belgelere göre doğru ve 2820 sayılı Siyasî Partiler Kanunu'na uygun olduğuna OYBİRLİĞİYLE,</w:t>
      </w:r>
    </w:p>
    <w:p w:rsidR="00C0332C" w:rsidRPr="00C0332C" w:rsidRDefault="00C0332C" w:rsidP="00C0332C">
      <w:pPr>
        <w:spacing w:after="200"/>
        <w:ind w:left="283" w:right="283" w:firstLine="709"/>
        <w:jc w:val="both"/>
        <w:rPr>
          <w:color w:val="010000"/>
        </w:rPr>
      </w:pPr>
      <w:r w:rsidRPr="00C0332C">
        <w:rPr>
          <w:color w:val="010000"/>
          <w:szCs w:val="26"/>
        </w:rPr>
        <w:t xml:space="preserve">2- Siyasî Partiler Kanunu'nun 60. maddesine göre usulüne uygun olarak ilçe seçim kuruluna tasdik edilmeyen defterler nedeniyle Yargıtay Cumhuriyet Başsavcılığı'na suç duyurusunda bulunulmasına Haşim KILIÇ, Osman </w:t>
      </w:r>
      <w:proofErr w:type="spellStart"/>
      <w:r w:rsidRPr="00C0332C">
        <w:rPr>
          <w:color w:val="010000"/>
          <w:szCs w:val="26"/>
        </w:rPr>
        <w:t>Alifeyyaz</w:t>
      </w:r>
      <w:proofErr w:type="spellEnd"/>
      <w:r w:rsidRPr="00C0332C">
        <w:rPr>
          <w:color w:val="010000"/>
          <w:szCs w:val="26"/>
        </w:rPr>
        <w:t xml:space="preserve"> PAKSÜT, </w:t>
      </w:r>
      <w:proofErr w:type="spellStart"/>
      <w:r w:rsidRPr="00C0332C">
        <w:rPr>
          <w:color w:val="010000"/>
          <w:szCs w:val="26"/>
        </w:rPr>
        <w:t>Sacit</w:t>
      </w:r>
      <w:proofErr w:type="spellEnd"/>
      <w:r w:rsidRPr="00C0332C">
        <w:rPr>
          <w:color w:val="010000"/>
          <w:szCs w:val="26"/>
        </w:rPr>
        <w:t xml:space="preserve"> ADALI ve Fulya </w:t>
      </w:r>
      <w:proofErr w:type="spellStart"/>
      <w:r w:rsidRPr="00C0332C">
        <w:rPr>
          <w:color w:val="010000"/>
          <w:szCs w:val="26"/>
        </w:rPr>
        <w:t>KANTARCIOĞLU'nun</w:t>
      </w:r>
      <w:proofErr w:type="spellEnd"/>
      <w:r w:rsidRPr="00C0332C">
        <w:rPr>
          <w:color w:val="010000"/>
          <w:szCs w:val="26"/>
        </w:rPr>
        <w:t xml:space="preserve"> </w:t>
      </w:r>
      <w:proofErr w:type="spellStart"/>
      <w:r w:rsidRPr="00C0332C">
        <w:rPr>
          <w:color w:val="010000"/>
          <w:szCs w:val="26"/>
        </w:rPr>
        <w:t>karşıoyları</w:t>
      </w:r>
      <w:proofErr w:type="spellEnd"/>
      <w:r w:rsidRPr="00C0332C">
        <w:rPr>
          <w:color w:val="010000"/>
          <w:szCs w:val="26"/>
        </w:rPr>
        <w:t xml:space="preserve"> ve OYÇOKLUĞUYLA,</w:t>
      </w:r>
    </w:p>
    <w:p w:rsidR="00C0332C" w:rsidRPr="00C0332C" w:rsidRDefault="00C0332C" w:rsidP="00C0332C">
      <w:pPr>
        <w:spacing w:after="200"/>
        <w:ind w:left="283" w:right="283" w:firstLine="709"/>
        <w:jc w:val="both"/>
        <w:rPr>
          <w:color w:val="010000"/>
        </w:rPr>
      </w:pPr>
      <w:r w:rsidRPr="00C0332C">
        <w:rPr>
          <w:color w:val="010000"/>
          <w:szCs w:val="26"/>
        </w:rPr>
        <w:t>29.4.2008 gününde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C0332C" w:rsidRPr="00C0332C" w:rsidTr="00C0332C">
        <w:trPr>
          <w:jc w:val="center"/>
        </w:trPr>
        <w:tc>
          <w:tcPr>
            <w:tcW w:w="1666" w:type="pct"/>
            <w:tcMar>
              <w:top w:w="0" w:type="dxa"/>
              <w:left w:w="108" w:type="dxa"/>
              <w:bottom w:w="0" w:type="dxa"/>
              <w:right w:w="108" w:type="dxa"/>
            </w:tcMar>
            <w:hideMark/>
          </w:tcPr>
          <w:p w:rsidR="00C0332C" w:rsidRPr="00C0332C" w:rsidRDefault="00C0332C" w:rsidP="00C0332C">
            <w:pPr>
              <w:autoSpaceDE w:val="0"/>
              <w:autoSpaceDN w:val="0"/>
              <w:spacing w:after="120"/>
              <w:jc w:val="center"/>
              <w:rPr>
                <w:color w:val="010000"/>
              </w:rPr>
            </w:pPr>
            <w:r w:rsidRPr="00C0332C">
              <w:rPr>
                <w:color w:val="010000"/>
                <w:szCs w:val="26"/>
              </w:rPr>
              <w:t>Başkan</w:t>
            </w:r>
          </w:p>
          <w:p w:rsidR="00C0332C" w:rsidRPr="00C0332C" w:rsidRDefault="00C0332C" w:rsidP="00C0332C">
            <w:pPr>
              <w:autoSpaceDE w:val="0"/>
              <w:autoSpaceDN w:val="0"/>
              <w:spacing w:after="120"/>
              <w:jc w:val="center"/>
              <w:rPr>
                <w:color w:val="010000"/>
              </w:rPr>
            </w:pPr>
            <w:r w:rsidRPr="00C0332C">
              <w:rPr>
                <w:color w:val="010000"/>
                <w:szCs w:val="26"/>
              </w:rPr>
              <w:t>Haşim KILIÇ</w:t>
            </w:r>
          </w:p>
        </w:tc>
        <w:tc>
          <w:tcPr>
            <w:tcW w:w="1667" w:type="pct"/>
            <w:tcMar>
              <w:top w:w="0" w:type="dxa"/>
              <w:left w:w="108" w:type="dxa"/>
              <w:bottom w:w="0" w:type="dxa"/>
              <w:right w:w="108" w:type="dxa"/>
            </w:tcMar>
            <w:hideMark/>
          </w:tcPr>
          <w:p w:rsidR="00C0332C" w:rsidRPr="00C0332C" w:rsidRDefault="00C0332C" w:rsidP="00C0332C">
            <w:pPr>
              <w:autoSpaceDE w:val="0"/>
              <w:autoSpaceDN w:val="0"/>
              <w:spacing w:after="120"/>
              <w:jc w:val="center"/>
              <w:rPr>
                <w:color w:val="010000"/>
              </w:rPr>
            </w:pPr>
            <w:r w:rsidRPr="00C0332C">
              <w:rPr>
                <w:color w:val="010000"/>
                <w:szCs w:val="26"/>
              </w:rPr>
              <w:t>Başkanvekili</w:t>
            </w:r>
          </w:p>
          <w:p w:rsidR="00C0332C" w:rsidRPr="00C0332C" w:rsidRDefault="00C0332C" w:rsidP="00C0332C">
            <w:pPr>
              <w:autoSpaceDE w:val="0"/>
              <w:autoSpaceDN w:val="0"/>
              <w:spacing w:after="120"/>
              <w:jc w:val="center"/>
              <w:rPr>
                <w:color w:val="010000"/>
              </w:rPr>
            </w:pPr>
            <w:r w:rsidRPr="00C0332C">
              <w:rPr>
                <w:color w:val="010000"/>
                <w:szCs w:val="26"/>
              </w:rPr>
              <w:t xml:space="preserve">Osman </w:t>
            </w:r>
            <w:proofErr w:type="spellStart"/>
            <w:r w:rsidRPr="00C0332C">
              <w:rPr>
                <w:color w:val="010000"/>
                <w:szCs w:val="26"/>
              </w:rPr>
              <w:t>Alifeyyaz</w:t>
            </w:r>
            <w:proofErr w:type="spellEnd"/>
            <w:r w:rsidRPr="00C0332C">
              <w:rPr>
                <w:color w:val="010000"/>
                <w:szCs w:val="26"/>
              </w:rPr>
              <w:t xml:space="preserve"> PAKSÜT</w:t>
            </w:r>
          </w:p>
        </w:tc>
        <w:tc>
          <w:tcPr>
            <w:tcW w:w="1667" w:type="pct"/>
            <w:tcMar>
              <w:top w:w="0" w:type="dxa"/>
              <w:left w:w="108" w:type="dxa"/>
              <w:bottom w:w="0" w:type="dxa"/>
              <w:right w:w="108" w:type="dxa"/>
            </w:tcMar>
            <w:hideMark/>
          </w:tcPr>
          <w:p w:rsidR="00C0332C" w:rsidRPr="00C0332C" w:rsidRDefault="00C0332C" w:rsidP="00C0332C">
            <w:pPr>
              <w:autoSpaceDE w:val="0"/>
              <w:autoSpaceDN w:val="0"/>
              <w:spacing w:after="120"/>
              <w:jc w:val="center"/>
              <w:rPr>
                <w:color w:val="010000"/>
              </w:rPr>
            </w:pPr>
            <w:r w:rsidRPr="00C0332C">
              <w:rPr>
                <w:color w:val="010000"/>
                <w:szCs w:val="26"/>
              </w:rPr>
              <w:t>Üye</w:t>
            </w:r>
          </w:p>
          <w:p w:rsidR="00C0332C" w:rsidRPr="00C0332C" w:rsidRDefault="00C0332C" w:rsidP="00C0332C">
            <w:pPr>
              <w:autoSpaceDE w:val="0"/>
              <w:autoSpaceDN w:val="0"/>
              <w:spacing w:after="120"/>
              <w:jc w:val="center"/>
              <w:rPr>
                <w:color w:val="010000"/>
              </w:rPr>
            </w:pPr>
            <w:proofErr w:type="spellStart"/>
            <w:r w:rsidRPr="00C0332C">
              <w:rPr>
                <w:color w:val="010000"/>
                <w:szCs w:val="26"/>
              </w:rPr>
              <w:t>Sacit</w:t>
            </w:r>
            <w:proofErr w:type="spellEnd"/>
            <w:r w:rsidRPr="00C0332C">
              <w:rPr>
                <w:color w:val="010000"/>
                <w:szCs w:val="26"/>
              </w:rPr>
              <w:t xml:space="preserve"> ADALI</w:t>
            </w:r>
          </w:p>
        </w:tc>
      </w:tr>
    </w:tbl>
    <w:p w:rsidR="00C0332C" w:rsidRPr="00C0332C" w:rsidRDefault="00C0332C" w:rsidP="00C0332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C0332C" w:rsidRPr="00C0332C" w:rsidTr="00C0332C">
        <w:trPr>
          <w:jc w:val="center"/>
        </w:trPr>
        <w:tc>
          <w:tcPr>
            <w:tcW w:w="1666" w:type="pct"/>
            <w:tcMar>
              <w:top w:w="0" w:type="dxa"/>
              <w:left w:w="108" w:type="dxa"/>
              <w:bottom w:w="0" w:type="dxa"/>
              <w:right w:w="108" w:type="dxa"/>
            </w:tcMar>
            <w:hideMark/>
          </w:tcPr>
          <w:p w:rsidR="00C0332C" w:rsidRPr="00C0332C" w:rsidRDefault="00C0332C" w:rsidP="00C0332C">
            <w:pPr>
              <w:autoSpaceDE w:val="0"/>
              <w:autoSpaceDN w:val="0"/>
              <w:spacing w:after="120"/>
              <w:jc w:val="center"/>
              <w:rPr>
                <w:color w:val="010000"/>
              </w:rPr>
            </w:pPr>
            <w:r w:rsidRPr="00C0332C">
              <w:rPr>
                <w:color w:val="010000"/>
                <w:szCs w:val="26"/>
              </w:rPr>
              <w:t>Üye</w:t>
            </w:r>
          </w:p>
          <w:p w:rsidR="00C0332C" w:rsidRPr="00C0332C" w:rsidRDefault="00C0332C" w:rsidP="00C0332C">
            <w:pPr>
              <w:autoSpaceDE w:val="0"/>
              <w:autoSpaceDN w:val="0"/>
              <w:spacing w:after="120"/>
              <w:jc w:val="center"/>
              <w:rPr>
                <w:color w:val="010000"/>
              </w:rPr>
            </w:pPr>
            <w:r w:rsidRPr="00C0332C">
              <w:rPr>
                <w:color w:val="010000"/>
                <w:szCs w:val="26"/>
              </w:rPr>
              <w:t>Fulya KANTARCIOĞLU</w:t>
            </w:r>
          </w:p>
        </w:tc>
        <w:tc>
          <w:tcPr>
            <w:tcW w:w="1667" w:type="pct"/>
            <w:tcMar>
              <w:top w:w="0" w:type="dxa"/>
              <w:left w:w="108" w:type="dxa"/>
              <w:bottom w:w="0" w:type="dxa"/>
              <w:right w:w="108" w:type="dxa"/>
            </w:tcMar>
            <w:hideMark/>
          </w:tcPr>
          <w:p w:rsidR="00C0332C" w:rsidRPr="00C0332C" w:rsidRDefault="00C0332C" w:rsidP="00C0332C">
            <w:pPr>
              <w:autoSpaceDE w:val="0"/>
              <w:autoSpaceDN w:val="0"/>
              <w:spacing w:after="120"/>
              <w:jc w:val="center"/>
              <w:rPr>
                <w:color w:val="010000"/>
              </w:rPr>
            </w:pPr>
            <w:r w:rsidRPr="00C0332C">
              <w:rPr>
                <w:color w:val="010000"/>
                <w:szCs w:val="26"/>
              </w:rPr>
              <w:t>Üye</w:t>
            </w:r>
          </w:p>
          <w:p w:rsidR="00C0332C" w:rsidRPr="00C0332C" w:rsidRDefault="00C0332C" w:rsidP="00C0332C">
            <w:pPr>
              <w:autoSpaceDE w:val="0"/>
              <w:autoSpaceDN w:val="0"/>
              <w:spacing w:after="120"/>
              <w:jc w:val="center"/>
              <w:rPr>
                <w:color w:val="010000"/>
              </w:rPr>
            </w:pPr>
            <w:r w:rsidRPr="00C0332C">
              <w:rPr>
                <w:color w:val="010000"/>
                <w:szCs w:val="26"/>
              </w:rPr>
              <w:t>Ahmet AKYALÇIN</w:t>
            </w:r>
          </w:p>
        </w:tc>
        <w:tc>
          <w:tcPr>
            <w:tcW w:w="1667" w:type="pct"/>
            <w:tcMar>
              <w:top w:w="0" w:type="dxa"/>
              <w:left w:w="108" w:type="dxa"/>
              <w:bottom w:w="0" w:type="dxa"/>
              <w:right w:w="108" w:type="dxa"/>
            </w:tcMar>
            <w:hideMark/>
          </w:tcPr>
          <w:p w:rsidR="00C0332C" w:rsidRPr="00C0332C" w:rsidRDefault="00C0332C" w:rsidP="00C0332C">
            <w:pPr>
              <w:autoSpaceDE w:val="0"/>
              <w:autoSpaceDN w:val="0"/>
              <w:spacing w:after="120"/>
              <w:jc w:val="center"/>
              <w:rPr>
                <w:color w:val="010000"/>
              </w:rPr>
            </w:pPr>
            <w:r w:rsidRPr="00C0332C">
              <w:rPr>
                <w:color w:val="010000"/>
                <w:szCs w:val="26"/>
              </w:rPr>
              <w:t>Üye</w:t>
            </w:r>
          </w:p>
          <w:p w:rsidR="00C0332C" w:rsidRPr="00C0332C" w:rsidRDefault="00C0332C" w:rsidP="00C0332C">
            <w:pPr>
              <w:autoSpaceDE w:val="0"/>
              <w:autoSpaceDN w:val="0"/>
              <w:spacing w:after="120"/>
              <w:jc w:val="center"/>
              <w:rPr>
                <w:color w:val="010000"/>
              </w:rPr>
            </w:pPr>
            <w:r w:rsidRPr="00C0332C">
              <w:rPr>
                <w:color w:val="010000"/>
                <w:szCs w:val="26"/>
              </w:rPr>
              <w:t>Mehmet ERTEN</w:t>
            </w:r>
          </w:p>
        </w:tc>
      </w:tr>
    </w:tbl>
    <w:p w:rsidR="00C0332C" w:rsidRPr="00C0332C" w:rsidRDefault="00C0332C" w:rsidP="00C0332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C0332C" w:rsidRPr="00C0332C" w:rsidTr="00C0332C">
        <w:trPr>
          <w:jc w:val="center"/>
        </w:trPr>
        <w:tc>
          <w:tcPr>
            <w:tcW w:w="1666" w:type="pct"/>
            <w:tcMar>
              <w:top w:w="0" w:type="dxa"/>
              <w:left w:w="108" w:type="dxa"/>
              <w:bottom w:w="0" w:type="dxa"/>
              <w:right w:w="108" w:type="dxa"/>
            </w:tcMar>
            <w:hideMark/>
          </w:tcPr>
          <w:p w:rsidR="00C0332C" w:rsidRPr="00C0332C" w:rsidRDefault="00C0332C" w:rsidP="00C0332C">
            <w:pPr>
              <w:autoSpaceDE w:val="0"/>
              <w:autoSpaceDN w:val="0"/>
              <w:spacing w:after="120"/>
              <w:jc w:val="center"/>
              <w:rPr>
                <w:color w:val="010000"/>
              </w:rPr>
            </w:pPr>
            <w:r w:rsidRPr="00C0332C">
              <w:rPr>
                <w:color w:val="010000"/>
                <w:szCs w:val="26"/>
              </w:rPr>
              <w:t>Üye</w:t>
            </w:r>
          </w:p>
          <w:p w:rsidR="00C0332C" w:rsidRPr="00C0332C" w:rsidRDefault="00C0332C" w:rsidP="00C0332C">
            <w:pPr>
              <w:autoSpaceDE w:val="0"/>
              <w:autoSpaceDN w:val="0"/>
              <w:spacing w:after="120"/>
              <w:jc w:val="center"/>
              <w:rPr>
                <w:color w:val="010000"/>
              </w:rPr>
            </w:pPr>
            <w:r w:rsidRPr="00C0332C">
              <w:rPr>
                <w:color w:val="010000"/>
                <w:szCs w:val="26"/>
              </w:rPr>
              <w:t>A. Necmi ÖZLER</w:t>
            </w:r>
          </w:p>
        </w:tc>
        <w:tc>
          <w:tcPr>
            <w:tcW w:w="1667" w:type="pct"/>
            <w:tcMar>
              <w:top w:w="0" w:type="dxa"/>
              <w:left w:w="108" w:type="dxa"/>
              <w:bottom w:w="0" w:type="dxa"/>
              <w:right w:w="108" w:type="dxa"/>
            </w:tcMar>
            <w:hideMark/>
          </w:tcPr>
          <w:p w:rsidR="00C0332C" w:rsidRPr="00C0332C" w:rsidRDefault="00C0332C" w:rsidP="00C0332C">
            <w:pPr>
              <w:autoSpaceDE w:val="0"/>
              <w:autoSpaceDN w:val="0"/>
              <w:spacing w:after="120"/>
              <w:jc w:val="center"/>
              <w:rPr>
                <w:color w:val="010000"/>
              </w:rPr>
            </w:pPr>
            <w:r w:rsidRPr="00C0332C">
              <w:rPr>
                <w:color w:val="010000"/>
                <w:szCs w:val="26"/>
              </w:rPr>
              <w:t>Üye</w:t>
            </w:r>
          </w:p>
          <w:p w:rsidR="00C0332C" w:rsidRPr="00C0332C" w:rsidRDefault="00C0332C" w:rsidP="00C0332C">
            <w:pPr>
              <w:autoSpaceDE w:val="0"/>
              <w:autoSpaceDN w:val="0"/>
              <w:spacing w:after="120"/>
              <w:jc w:val="center"/>
              <w:rPr>
                <w:color w:val="010000"/>
              </w:rPr>
            </w:pPr>
            <w:r w:rsidRPr="00C0332C">
              <w:rPr>
                <w:color w:val="010000"/>
                <w:szCs w:val="26"/>
              </w:rPr>
              <w:t>Serdar ÖZGÜLDÜR</w:t>
            </w:r>
          </w:p>
        </w:tc>
        <w:tc>
          <w:tcPr>
            <w:tcW w:w="1667" w:type="pct"/>
            <w:tcMar>
              <w:top w:w="0" w:type="dxa"/>
              <w:left w:w="108" w:type="dxa"/>
              <w:bottom w:w="0" w:type="dxa"/>
              <w:right w:w="108" w:type="dxa"/>
            </w:tcMar>
            <w:hideMark/>
          </w:tcPr>
          <w:p w:rsidR="00C0332C" w:rsidRPr="00C0332C" w:rsidRDefault="00C0332C" w:rsidP="00C0332C">
            <w:pPr>
              <w:autoSpaceDE w:val="0"/>
              <w:autoSpaceDN w:val="0"/>
              <w:spacing w:after="120"/>
              <w:jc w:val="center"/>
              <w:rPr>
                <w:color w:val="010000"/>
              </w:rPr>
            </w:pPr>
            <w:r w:rsidRPr="00C0332C">
              <w:rPr>
                <w:color w:val="010000"/>
                <w:szCs w:val="26"/>
              </w:rPr>
              <w:t>Üye</w:t>
            </w:r>
          </w:p>
          <w:p w:rsidR="00C0332C" w:rsidRPr="00C0332C" w:rsidRDefault="00C0332C" w:rsidP="00C0332C">
            <w:pPr>
              <w:autoSpaceDE w:val="0"/>
              <w:autoSpaceDN w:val="0"/>
              <w:spacing w:after="120"/>
              <w:jc w:val="center"/>
              <w:rPr>
                <w:color w:val="010000"/>
              </w:rPr>
            </w:pPr>
            <w:r w:rsidRPr="00C0332C">
              <w:rPr>
                <w:color w:val="010000"/>
                <w:szCs w:val="26"/>
              </w:rPr>
              <w:t>Şevket APALAK</w:t>
            </w:r>
          </w:p>
        </w:tc>
      </w:tr>
    </w:tbl>
    <w:p w:rsidR="00C0332C" w:rsidRPr="00C0332C" w:rsidRDefault="00C0332C" w:rsidP="00C0332C">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C0332C" w:rsidRPr="00C0332C" w:rsidTr="00C0332C">
        <w:trPr>
          <w:jc w:val="center"/>
        </w:trPr>
        <w:tc>
          <w:tcPr>
            <w:tcW w:w="2500" w:type="pct"/>
            <w:tcMar>
              <w:top w:w="0" w:type="dxa"/>
              <w:left w:w="108" w:type="dxa"/>
              <w:bottom w:w="0" w:type="dxa"/>
              <w:right w:w="108" w:type="dxa"/>
            </w:tcMar>
            <w:hideMark/>
          </w:tcPr>
          <w:p w:rsidR="00C0332C" w:rsidRPr="00C0332C" w:rsidRDefault="00C0332C" w:rsidP="00C0332C">
            <w:pPr>
              <w:autoSpaceDE w:val="0"/>
              <w:autoSpaceDN w:val="0"/>
              <w:spacing w:after="120"/>
              <w:jc w:val="center"/>
              <w:rPr>
                <w:color w:val="010000"/>
              </w:rPr>
            </w:pPr>
            <w:r w:rsidRPr="00C0332C">
              <w:rPr>
                <w:color w:val="010000"/>
                <w:szCs w:val="26"/>
              </w:rPr>
              <w:t>Üye</w:t>
            </w:r>
          </w:p>
          <w:p w:rsidR="00C0332C" w:rsidRPr="00C0332C" w:rsidRDefault="00C0332C" w:rsidP="00C0332C">
            <w:pPr>
              <w:autoSpaceDE w:val="0"/>
              <w:autoSpaceDN w:val="0"/>
              <w:spacing w:after="120"/>
              <w:jc w:val="center"/>
              <w:rPr>
                <w:color w:val="010000"/>
              </w:rPr>
            </w:pPr>
            <w:proofErr w:type="spellStart"/>
            <w:r w:rsidRPr="00C0332C">
              <w:rPr>
                <w:color w:val="010000"/>
                <w:szCs w:val="26"/>
              </w:rPr>
              <w:t>Serruh</w:t>
            </w:r>
            <w:proofErr w:type="spellEnd"/>
            <w:r w:rsidRPr="00C0332C">
              <w:rPr>
                <w:color w:val="010000"/>
                <w:szCs w:val="26"/>
              </w:rPr>
              <w:t xml:space="preserve"> KALELİ</w:t>
            </w:r>
          </w:p>
        </w:tc>
        <w:tc>
          <w:tcPr>
            <w:tcW w:w="2500" w:type="pct"/>
            <w:tcMar>
              <w:top w:w="0" w:type="dxa"/>
              <w:left w:w="108" w:type="dxa"/>
              <w:bottom w:w="0" w:type="dxa"/>
              <w:right w:w="108" w:type="dxa"/>
            </w:tcMar>
            <w:hideMark/>
          </w:tcPr>
          <w:p w:rsidR="00C0332C" w:rsidRPr="00C0332C" w:rsidRDefault="00C0332C" w:rsidP="00C0332C">
            <w:pPr>
              <w:autoSpaceDE w:val="0"/>
              <w:autoSpaceDN w:val="0"/>
              <w:spacing w:after="120"/>
              <w:jc w:val="center"/>
              <w:rPr>
                <w:color w:val="010000"/>
              </w:rPr>
            </w:pPr>
            <w:r w:rsidRPr="00C0332C">
              <w:rPr>
                <w:color w:val="010000"/>
                <w:szCs w:val="26"/>
              </w:rPr>
              <w:t>Üye</w:t>
            </w:r>
          </w:p>
          <w:p w:rsidR="00C0332C" w:rsidRPr="00C0332C" w:rsidRDefault="00C0332C" w:rsidP="00C0332C">
            <w:pPr>
              <w:autoSpaceDE w:val="0"/>
              <w:autoSpaceDN w:val="0"/>
              <w:spacing w:after="120"/>
              <w:jc w:val="center"/>
              <w:rPr>
                <w:color w:val="010000"/>
              </w:rPr>
            </w:pPr>
            <w:r w:rsidRPr="00C0332C">
              <w:rPr>
                <w:color w:val="010000"/>
                <w:szCs w:val="26"/>
              </w:rPr>
              <w:t>Zehra Ayla PERKTAŞ</w:t>
            </w:r>
          </w:p>
        </w:tc>
      </w:tr>
    </w:tbl>
    <w:p w:rsidR="00C0332C" w:rsidRDefault="00C0332C" w:rsidP="00C0332C">
      <w:pPr>
        <w:spacing w:after="200"/>
        <w:ind w:left="283" w:right="283" w:firstLine="709"/>
        <w:jc w:val="both"/>
        <w:rPr>
          <w:b/>
          <w:bCs/>
          <w:color w:val="010000"/>
          <w:szCs w:val="26"/>
        </w:rPr>
      </w:pPr>
    </w:p>
    <w:p w:rsidR="00C0332C" w:rsidRPr="00C0332C" w:rsidRDefault="00C0332C" w:rsidP="00C0332C">
      <w:pPr>
        <w:spacing w:after="200"/>
        <w:ind w:left="283" w:right="283" w:firstLine="709"/>
        <w:jc w:val="both"/>
        <w:rPr>
          <w:color w:val="010000"/>
        </w:rPr>
      </w:pPr>
      <w:r w:rsidRPr="00C0332C">
        <w:rPr>
          <w:b/>
          <w:bCs/>
          <w:color w:val="010000"/>
          <w:szCs w:val="26"/>
        </w:rPr>
        <w:t>KARŞIOY YAZISI</w:t>
      </w:r>
    </w:p>
    <w:p w:rsidR="00C0332C" w:rsidRPr="00C0332C" w:rsidRDefault="00C0332C" w:rsidP="00C0332C">
      <w:pPr>
        <w:spacing w:after="200"/>
        <w:ind w:left="283" w:right="283" w:firstLine="709"/>
        <w:jc w:val="both"/>
        <w:rPr>
          <w:color w:val="010000"/>
        </w:rPr>
      </w:pPr>
      <w:r w:rsidRPr="00C0332C">
        <w:rPr>
          <w:color w:val="010000"/>
          <w:szCs w:val="26"/>
        </w:rPr>
        <w:t xml:space="preserve">Siyasî Partiler Kanunu'nun 60. maddesine göre usulüne uygun olarak İlçe Seçim Kurulu'na tasdik edilmeyen defterler nedeniyle Yargıtay Cumhuriyet Başsavcılığı'na suç duyurusunda bulunulmasına ilişkin Osman </w:t>
      </w:r>
      <w:proofErr w:type="spellStart"/>
      <w:r w:rsidRPr="00C0332C">
        <w:rPr>
          <w:color w:val="010000"/>
          <w:szCs w:val="26"/>
        </w:rPr>
        <w:t>Alifeyyaz</w:t>
      </w:r>
      <w:proofErr w:type="spellEnd"/>
      <w:r w:rsidRPr="00C0332C">
        <w:rPr>
          <w:color w:val="010000"/>
          <w:szCs w:val="26"/>
        </w:rPr>
        <w:t xml:space="preserve"> </w:t>
      </w:r>
      <w:proofErr w:type="spellStart"/>
      <w:r w:rsidRPr="00C0332C">
        <w:rPr>
          <w:color w:val="010000"/>
          <w:szCs w:val="26"/>
        </w:rPr>
        <w:t>PAKSÜT'ün</w:t>
      </w:r>
      <w:proofErr w:type="spellEnd"/>
      <w:r w:rsidRPr="00C0332C">
        <w:rPr>
          <w:color w:val="010000"/>
          <w:szCs w:val="26"/>
        </w:rPr>
        <w:t xml:space="preserve"> </w:t>
      </w:r>
      <w:proofErr w:type="spellStart"/>
      <w:r w:rsidRPr="00C0332C">
        <w:rPr>
          <w:color w:val="010000"/>
          <w:szCs w:val="26"/>
        </w:rPr>
        <w:t>karşıoyuna</w:t>
      </w:r>
      <w:proofErr w:type="spellEnd"/>
      <w:r w:rsidRPr="00C0332C">
        <w:rPr>
          <w:color w:val="010000"/>
          <w:szCs w:val="26"/>
        </w:rPr>
        <w:t xml:space="preserve"> katılıyoruz.</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6"/>
        <w:gridCol w:w="1956"/>
        <w:gridCol w:w="1956"/>
        <w:gridCol w:w="1956"/>
        <w:gridCol w:w="1956"/>
      </w:tblGrid>
      <w:tr w:rsidR="00C0332C" w:rsidRPr="00C0332C" w:rsidTr="00C0332C">
        <w:trPr>
          <w:jc w:val="center"/>
        </w:trPr>
        <w:tc>
          <w:tcPr>
            <w:tcW w:w="1000" w:type="pct"/>
            <w:shd w:val="clear" w:color="auto" w:fill="auto"/>
          </w:tcPr>
          <w:p w:rsidR="00C0332C" w:rsidRPr="00C0332C" w:rsidRDefault="00C0332C" w:rsidP="00C0332C">
            <w:pPr>
              <w:spacing w:after="120"/>
              <w:jc w:val="center"/>
              <w:rPr>
                <w:bCs/>
                <w:color w:val="010000"/>
                <w:szCs w:val="26"/>
              </w:rPr>
            </w:pPr>
          </w:p>
        </w:tc>
        <w:tc>
          <w:tcPr>
            <w:tcW w:w="1000" w:type="pct"/>
            <w:shd w:val="clear" w:color="auto" w:fill="auto"/>
          </w:tcPr>
          <w:p w:rsidR="00C0332C" w:rsidRPr="00C0332C" w:rsidRDefault="00C0332C" w:rsidP="00C0332C">
            <w:pPr>
              <w:spacing w:after="120"/>
              <w:jc w:val="center"/>
              <w:rPr>
                <w:bCs/>
                <w:color w:val="010000"/>
                <w:szCs w:val="26"/>
              </w:rPr>
            </w:pPr>
            <w:r w:rsidRPr="00C0332C">
              <w:rPr>
                <w:bCs/>
                <w:color w:val="010000"/>
                <w:szCs w:val="26"/>
              </w:rPr>
              <w:t>Başkan</w:t>
            </w:r>
          </w:p>
          <w:p w:rsidR="00C0332C" w:rsidRPr="00C0332C" w:rsidRDefault="00C0332C" w:rsidP="00C0332C">
            <w:pPr>
              <w:spacing w:after="120"/>
              <w:jc w:val="center"/>
              <w:rPr>
                <w:bCs/>
                <w:color w:val="010000"/>
                <w:szCs w:val="26"/>
              </w:rPr>
            </w:pPr>
            <w:r w:rsidRPr="00C0332C">
              <w:rPr>
                <w:bCs/>
                <w:color w:val="010000"/>
                <w:szCs w:val="26"/>
              </w:rPr>
              <w:t>Haşim KILIÇ</w:t>
            </w:r>
          </w:p>
        </w:tc>
        <w:tc>
          <w:tcPr>
            <w:tcW w:w="1000" w:type="pct"/>
            <w:shd w:val="clear" w:color="auto" w:fill="auto"/>
          </w:tcPr>
          <w:p w:rsidR="00C0332C" w:rsidRPr="00C0332C" w:rsidRDefault="00C0332C" w:rsidP="00C0332C">
            <w:pPr>
              <w:spacing w:after="120"/>
              <w:jc w:val="center"/>
              <w:rPr>
                <w:bCs/>
                <w:color w:val="010000"/>
                <w:szCs w:val="26"/>
              </w:rPr>
            </w:pPr>
          </w:p>
        </w:tc>
        <w:tc>
          <w:tcPr>
            <w:tcW w:w="1000" w:type="pct"/>
            <w:shd w:val="clear" w:color="auto" w:fill="auto"/>
          </w:tcPr>
          <w:p w:rsidR="00C0332C" w:rsidRPr="00C0332C" w:rsidRDefault="00C0332C" w:rsidP="00C0332C">
            <w:pPr>
              <w:spacing w:after="120"/>
              <w:jc w:val="center"/>
              <w:rPr>
                <w:bCs/>
                <w:color w:val="010000"/>
                <w:szCs w:val="26"/>
              </w:rPr>
            </w:pPr>
            <w:r w:rsidRPr="00C0332C">
              <w:rPr>
                <w:bCs/>
                <w:color w:val="010000"/>
                <w:szCs w:val="26"/>
              </w:rPr>
              <w:t>Üye</w:t>
            </w:r>
          </w:p>
          <w:p w:rsidR="00C0332C" w:rsidRPr="00C0332C" w:rsidRDefault="00C0332C" w:rsidP="00C0332C">
            <w:pPr>
              <w:spacing w:after="120"/>
              <w:jc w:val="center"/>
              <w:rPr>
                <w:bCs/>
                <w:color w:val="010000"/>
                <w:szCs w:val="26"/>
              </w:rPr>
            </w:pPr>
            <w:proofErr w:type="spellStart"/>
            <w:r w:rsidRPr="00C0332C">
              <w:rPr>
                <w:bCs/>
                <w:color w:val="010000"/>
                <w:szCs w:val="26"/>
              </w:rPr>
              <w:t>Sacit</w:t>
            </w:r>
            <w:proofErr w:type="spellEnd"/>
            <w:r w:rsidRPr="00C0332C">
              <w:rPr>
                <w:bCs/>
                <w:color w:val="010000"/>
                <w:szCs w:val="26"/>
              </w:rPr>
              <w:t xml:space="preserve"> ADALI</w:t>
            </w:r>
          </w:p>
          <w:p w:rsidR="00C0332C" w:rsidRPr="00C0332C" w:rsidRDefault="00C0332C" w:rsidP="00C0332C">
            <w:pPr>
              <w:spacing w:after="120"/>
              <w:jc w:val="center"/>
              <w:rPr>
                <w:bCs/>
                <w:color w:val="010000"/>
                <w:szCs w:val="26"/>
              </w:rPr>
            </w:pPr>
          </w:p>
        </w:tc>
        <w:tc>
          <w:tcPr>
            <w:tcW w:w="1000" w:type="pct"/>
            <w:shd w:val="clear" w:color="auto" w:fill="auto"/>
          </w:tcPr>
          <w:p w:rsidR="00C0332C" w:rsidRPr="00C0332C" w:rsidRDefault="00C0332C" w:rsidP="00C0332C">
            <w:pPr>
              <w:spacing w:after="120"/>
              <w:jc w:val="center"/>
              <w:rPr>
                <w:bCs/>
                <w:color w:val="010000"/>
                <w:szCs w:val="26"/>
              </w:rPr>
            </w:pPr>
          </w:p>
        </w:tc>
      </w:tr>
    </w:tbl>
    <w:p w:rsidR="00C0332C" w:rsidRDefault="00C0332C" w:rsidP="00C0332C">
      <w:pPr>
        <w:spacing w:after="200"/>
        <w:ind w:left="283" w:right="283" w:firstLine="709"/>
        <w:jc w:val="both"/>
        <w:rPr>
          <w:b/>
          <w:bCs/>
          <w:color w:val="010000"/>
          <w:szCs w:val="26"/>
        </w:rPr>
      </w:pPr>
    </w:p>
    <w:p w:rsidR="00C0332C" w:rsidRDefault="00C0332C" w:rsidP="00C0332C">
      <w:pPr>
        <w:spacing w:after="200"/>
        <w:ind w:left="283" w:right="283" w:firstLine="709"/>
        <w:jc w:val="both"/>
        <w:rPr>
          <w:b/>
          <w:bCs/>
          <w:color w:val="010000"/>
          <w:szCs w:val="26"/>
        </w:rPr>
      </w:pPr>
    </w:p>
    <w:p w:rsidR="00C0332C" w:rsidRPr="00C0332C" w:rsidRDefault="00C0332C" w:rsidP="00C0332C">
      <w:pPr>
        <w:spacing w:after="200"/>
        <w:ind w:left="283" w:right="283" w:firstLine="709"/>
        <w:jc w:val="both"/>
        <w:rPr>
          <w:color w:val="010000"/>
        </w:rPr>
      </w:pPr>
      <w:r w:rsidRPr="00C0332C">
        <w:rPr>
          <w:b/>
          <w:bCs/>
          <w:color w:val="010000"/>
          <w:szCs w:val="26"/>
        </w:rPr>
        <w:lastRenderedPageBreak/>
        <w:t>KARŞIOY YAZISI</w:t>
      </w:r>
    </w:p>
    <w:p w:rsidR="00C0332C" w:rsidRPr="00C0332C" w:rsidRDefault="00C0332C" w:rsidP="00C0332C">
      <w:pPr>
        <w:spacing w:after="200"/>
        <w:ind w:left="283" w:right="283" w:firstLine="709"/>
        <w:jc w:val="both"/>
        <w:rPr>
          <w:color w:val="010000"/>
        </w:rPr>
      </w:pPr>
      <w:r w:rsidRPr="00C0332C">
        <w:rPr>
          <w:color w:val="010000"/>
          <w:szCs w:val="26"/>
        </w:rPr>
        <w:t>Millet Partisi'nin 2000 yılı hesaplarının incelenmesinde, Parti'nin tutması gereken defterleri ilgili seçim kurulu başkanlığı yerine notere tasdik ettirmesinin Siyasî Partiler Kanunu'nun (SPK) 113. maddesindeki altı aydan bir yıla kadar hapis cezasını gerektiren suçu oluşturduğu ve anılan Parti yetkilileri hakkında suç duyurusunda bulunulması gerektiğine ilişkin karara aşağıdaki nedenlerle katılmamaktayım:</w:t>
      </w:r>
    </w:p>
    <w:p w:rsidR="00C0332C" w:rsidRPr="00C0332C" w:rsidRDefault="00C0332C" w:rsidP="00C0332C">
      <w:pPr>
        <w:spacing w:after="200"/>
        <w:ind w:left="283" w:right="283" w:firstLine="709"/>
        <w:jc w:val="both"/>
        <w:rPr>
          <w:color w:val="010000"/>
        </w:rPr>
      </w:pPr>
      <w:proofErr w:type="spellStart"/>
      <w:r w:rsidRPr="00C0332C">
        <w:rPr>
          <w:color w:val="010000"/>
          <w:szCs w:val="26"/>
        </w:rPr>
        <w:t>SPK'nun</w:t>
      </w:r>
      <w:proofErr w:type="spellEnd"/>
      <w:r w:rsidRPr="00C0332C">
        <w:rPr>
          <w:color w:val="010000"/>
          <w:szCs w:val="26"/>
        </w:rPr>
        <w:t xml:space="preserve"> 113. maddesindeki suç, genel kastla işlenebilecek bir suçtur. Bu nedenle, suçun oluştuğundan söz edebilmek için defter tutmama kastının varlığını aramak zorunludur. Parti yöneticileri, hukuk sistemimizde genel olarak tasdike yetkili bir mercide defterlerini tasdik ettirmiş olduklarından, olayda artık kastın varlığına hükmedilemez. Zira defterlerin noterde tasdik ettirilmiş olması, defter kayıtları üzerinde yasaya aykırı işlemler yapma olanağını ortadan kaldırmakta ve ceza yaptırımı altına alınan hukuki yarar</w:t>
      </w:r>
      <w:r w:rsidRPr="00C0332C">
        <w:rPr>
          <w:color w:val="010000"/>
          <w:szCs w:val="26"/>
        </w:rPr>
        <w:t xml:space="preserve"> </w:t>
      </w:r>
      <w:r w:rsidRPr="00C0332C">
        <w:rPr>
          <w:color w:val="010000"/>
          <w:szCs w:val="26"/>
        </w:rPr>
        <w:t>gerçekleşmektedir.</w:t>
      </w:r>
    </w:p>
    <w:p w:rsidR="00C0332C" w:rsidRPr="00C0332C" w:rsidRDefault="00C0332C" w:rsidP="00C0332C">
      <w:pPr>
        <w:spacing w:after="200"/>
        <w:ind w:left="283" w:right="283" w:firstLine="709"/>
        <w:jc w:val="both"/>
        <w:rPr>
          <w:color w:val="010000"/>
        </w:rPr>
      </w:pPr>
      <w:r w:rsidRPr="00C0332C">
        <w:rPr>
          <w:color w:val="010000"/>
          <w:szCs w:val="26"/>
        </w:rPr>
        <w:t xml:space="preserve">Suçun unsurlarının yasalarda açıkça belirtilmiş olması, ceza hukukunun temel ilkelerindendir. </w:t>
      </w:r>
      <w:proofErr w:type="spellStart"/>
      <w:r w:rsidRPr="00C0332C">
        <w:rPr>
          <w:color w:val="010000"/>
          <w:szCs w:val="26"/>
        </w:rPr>
        <w:t>SPK'nun</w:t>
      </w:r>
      <w:proofErr w:type="spellEnd"/>
      <w:r w:rsidRPr="00C0332C">
        <w:rPr>
          <w:color w:val="010000"/>
          <w:szCs w:val="26"/>
        </w:rPr>
        <w:t xml:space="preserve"> 60. maddesinde belirtilen defterleri tasdik ettirme yükümlülüğünün ihlali suçunun hangi eylemlerle oluşacağının SPK'da veya bu kanunun gönderme yaptığı diğer yasa hükümlerinde açıkça tanımlanmış olması gerekir. </w:t>
      </w:r>
      <w:proofErr w:type="spellStart"/>
      <w:r w:rsidRPr="00C0332C">
        <w:rPr>
          <w:color w:val="010000"/>
          <w:szCs w:val="26"/>
        </w:rPr>
        <w:t>SPK'nun</w:t>
      </w:r>
      <w:proofErr w:type="spellEnd"/>
      <w:r w:rsidRPr="00C0332C">
        <w:rPr>
          <w:color w:val="010000"/>
          <w:szCs w:val="26"/>
        </w:rPr>
        <w:t xml:space="preserve"> 121.maddesinde, Türk Medeni Kanunu ile Dernekler Kanunu'nun ve dernekler hakkında uygulanan diğer kanunların SPK'na aykırı olmayan hükümlerinin siyasi partiler hakkında da</w:t>
      </w:r>
      <w:r w:rsidRPr="00C0332C">
        <w:rPr>
          <w:color w:val="010000"/>
          <w:szCs w:val="26"/>
        </w:rPr>
        <w:t xml:space="preserve"> </w:t>
      </w:r>
      <w:r w:rsidRPr="00C0332C">
        <w:rPr>
          <w:color w:val="010000"/>
          <w:szCs w:val="26"/>
        </w:rPr>
        <w:t xml:space="preserve">uygulanacağı belirtilmektedir. 60. maddedeki defterleri tasdik görevi SPK'na göre ilçe seçim kuruluna verilmiştir. </w:t>
      </w:r>
      <w:proofErr w:type="gramStart"/>
      <w:r w:rsidRPr="00C0332C">
        <w:rPr>
          <w:color w:val="010000"/>
          <w:szCs w:val="26"/>
        </w:rPr>
        <w:t>Dernekler Kanununa</w:t>
      </w:r>
      <w:proofErr w:type="gramEnd"/>
      <w:r w:rsidRPr="00C0332C">
        <w:rPr>
          <w:color w:val="010000"/>
          <w:szCs w:val="26"/>
        </w:rPr>
        <w:t xml:space="preserve"> göre ise noterler görevlidir. Siyasi parti defterlerinin özel görevli değil genel görevli bir mercide tasdik ettirilmesinin de suç oluşturacağı yasada açıkça belirtilmediğinden, noterde yapılan tasdik işleminin suç sayılması, ceza hukukunun temel ilkelerine aykırıdır. Hürriyeti bağlayıcı ceza gerektiren bir eylemin varlığına, ancak mevzuatta açıkça tanımlanan suç unsurlarının ve</w:t>
      </w:r>
      <w:r w:rsidRPr="00C0332C">
        <w:rPr>
          <w:color w:val="010000"/>
          <w:szCs w:val="26"/>
        </w:rPr>
        <w:t xml:space="preserve"> </w:t>
      </w:r>
      <w:r w:rsidRPr="00C0332C">
        <w:rPr>
          <w:color w:val="010000"/>
          <w:szCs w:val="26"/>
        </w:rPr>
        <w:t>kastın varlığı halinde hükmedilebilir.</w:t>
      </w:r>
    </w:p>
    <w:p w:rsidR="00C0332C" w:rsidRPr="00C0332C" w:rsidRDefault="00C0332C" w:rsidP="00C0332C">
      <w:pPr>
        <w:spacing w:after="200"/>
        <w:ind w:left="283" w:right="283" w:firstLine="709"/>
        <w:jc w:val="both"/>
        <w:rPr>
          <w:color w:val="010000"/>
        </w:rPr>
      </w:pPr>
      <w:r w:rsidRPr="00C0332C">
        <w:rPr>
          <w:color w:val="010000"/>
          <w:szCs w:val="26"/>
        </w:rPr>
        <w:t>Bu nedenle suç duyurusunu gerektiren bir durum bulunmadığı düşüncesindeyim.</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6"/>
        <w:gridCol w:w="1956"/>
        <w:gridCol w:w="1956"/>
        <w:gridCol w:w="1956"/>
        <w:gridCol w:w="1956"/>
      </w:tblGrid>
      <w:tr w:rsidR="00C0332C" w:rsidTr="00C0332C">
        <w:trPr>
          <w:jc w:val="center"/>
        </w:trPr>
        <w:tc>
          <w:tcPr>
            <w:tcW w:w="1000" w:type="pct"/>
            <w:shd w:val="clear" w:color="auto" w:fill="auto"/>
          </w:tcPr>
          <w:p w:rsidR="00C0332C" w:rsidRDefault="00C0332C" w:rsidP="00C0332C">
            <w:pPr>
              <w:pStyle w:val="Balk1"/>
              <w:keepNext w:val="0"/>
              <w:keepLines w:val="0"/>
              <w:spacing w:before="0"/>
              <w:jc w:val="center"/>
              <w:outlineLvl w:val="0"/>
              <w:rPr>
                <w:rFonts w:eastAsia="Times New Roman"/>
                <w:color w:val="010000"/>
                <w:sz w:val="24"/>
                <w:szCs w:val="26"/>
              </w:rPr>
            </w:pPr>
          </w:p>
        </w:tc>
        <w:tc>
          <w:tcPr>
            <w:tcW w:w="1000" w:type="pct"/>
            <w:shd w:val="clear" w:color="auto" w:fill="auto"/>
          </w:tcPr>
          <w:p w:rsidR="00C0332C" w:rsidRDefault="00C0332C" w:rsidP="00C0332C">
            <w:pPr>
              <w:pStyle w:val="Balk1"/>
              <w:keepNext w:val="0"/>
              <w:keepLines w:val="0"/>
              <w:spacing w:before="0"/>
              <w:jc w:val="center"/>
              <w:outlineLvl w:val="0"/>
              <w:rPr>
                <w:rFonts w:eastAsia="Times New Roman"/>
                <w:color w:val="010000"/>
                <w:sz w:val="24"/>
                <w:szCs w:val="26"/>
              </w:rPr>
            </w:pPr>
          </w:p>
        </w:tc>
        <w:tc>
          <w:tcPr>
            <w:tcW w:w="1000" w:type="pct"/>
            <w:shd w:val="clear" w:color="auto" w:fill="auto"/>
          </w:tcPr>
          <w:p w:rsidR="00C0332C" w:rsidRDefault="00C0332C" w:rsidP="00C0332C">
            <w:pPr>
              <w:pStyle w:val="Balk1"/>
              <w:keepNext w:val="0"/>
              <w:keepLines w:val="0"/>
              <w:spacing w:before="0"/>
              <w:jc w:val="center"/>
              <w:outlineLvl w:val="0"/>
              <w:rPr>
                <w:rFonts w:eastAsia="Times New Roman"/>
                <w:color w:val="010000"/>
                <w:sz w:val="24"/>
                <w:szCs w:val="26"/>
              </w:rPr>
            </w:pPr>
          </w:p>
        </w:tc>
        <w:tc>
          <w:tcPr>
            <w:tcW w:w="1000" w:type="pct"/>
            <w:shd w:val="clear" w:color="auto" w:fill="auto"/>
          </w:tcPr>
          <w:p w:rsidR="00C0332C" w:rsidRDefault="00C0332C" w:rsidP="00C0332C">
            <w:pPr>
              <w:pStyle w:val="Balk1"/>
              <w:keepNext w:val="0"/>
              <w:keepLines w:val="0"/>
              <w:spacing w:before="0"/>
              <w:jc w:val="center"/>
              <w:outlineLvl w:val="0"/>
              <w:rPr>
                <w:rFonts w:eastAsia="Times New Roman"/>
                <w:color w:val="010000"/>
                <w:sz w:val="24"/>
                <w:szCs w:val="26"/>
              </w:rPr>
            </w:pPr>
          </w:p>
        </w:tc>
        <w:tc>
          <w:tcPr>
            <w:tcW w:w="1000" w:type="pct"/>
            <w:shd w:val="clear" w:color="auto" w:fill="auto"/>
          </w:tcPr>
          <w:p w:rsidR="00C0332C" w:rsidRDefault="00C0332C" w:rsidP="00C0332C">
            <w:pPr>
              <w:pStyle w:val="Balk1"/>
              <w:keepNext w:val="0"/>
              <w:keepLines w:val="0"/>
              <w:spacing w:before="0"/>
              <w:jc w:val="center"/>
              <w:outlineLvl w:val="0"/>
              <w:rPr>
                <w:rFonts w:eastAsia="Times New Roman"/>
                <w:color w:val="010000"/>
                <w:sz w:val="24"/>
                <w:szCs w:val="26"/>
              </w:rPr>
            </w:pPr>
            <w:r>
              <w:rPr>
                <w:rFonts w:eastAsia="Times New Roman"/>
                <w:color w:val="010000"/>
                <w:sz w:val="24"/>
                <w:szCs w:val="26"/>
              </w:rPr>
              <w:t>Başkanvekili</w:t>
            </w:r>
          </w:p>
          <w:p w:rsidR="00C0332C" w:rsidRDefault="00C0332C" w:rsidP="00C0332C">
            <w:pPr>
              <w:pStyle w:val="Balk1"/>
              <w:keepNext w:val="0"/>
              <w:keepLines w:val="0"/>
              <w:spacing w:before="0"/>
              <w:jc w:val="center"/>
              <w:outlineLvl w:val="0"/>
              <w:rPr>
                <w:rFonts w:eastAsia="Times New Roman"/>
                <w:color w:val="010000"/>
                <w:sz w:val="24"/>
                <w:szCs w:val="26"/>
              </w:rPr>
            </w:pPr>
            <w:r>
              <w:rPr>
                <w:rFonts w:eastAsia="Times New Roman"/>
                <w:color w:val="010000"/>
                <w:sz w:val="24"/>
                <w:szCs w:val="26"/>
              </w:rPr>
              <w:t xml:space="preserve">Osman </w:t>
            </w:r>
            <w:proofErr w:type="spellStart"/>
            <w:r>
              <w:rPr>
                <w:rFonts w:eastAsia="Times New Roman"/>
                <w:color w:val="010000"/>
                <w:sz w:val="24"/>
                <w:szCs w:val="26"/>
              </w:rPr>
              <w:t>Alifeyyaz</w:t>
            </w:r>
            <w:proofErr w:type="spellEnd"/>
            <w:r>
              <w:rPr>
                <w:rFonts w:eastAsia="Times New Roman"/>
                <w:color w:val="010000"/>
                <w:sz w:val="24"/>
                <w:szCs w:val="26"/>
              </w:rPr>
              <w:t xml:space="preserve"> PAKSÜT</w:t>
            </w:r>
          </w:p>
          <w:p w:rsidR="00C0332C" w:rsidRPr="00C0332C" w:rsidRDefault="00C0332C" w:rsidP="00C0332C">
            <w:pPr>
              <w:pStyle w:val="Balk1"/>
              <w:keepNext w:val="0"/>
              <w:keepLines w:val="0"/>
              <w:spacing w:before="0"/>
              <w:jc w:val="center"/>
              <w:outlineLvl w:val="0"/>
              <w:rPr>
                <w:rFonts w:eastAsia="Times New Roman"/>
                <w:color w:val="010000"/>
                <w:sz w:val="24"/>
                <w:szCs w:val="26"/>
              </w:rPr>
            </w:pPr>
          </w:p>
        </w:tc>
      </w:tr>
    </w:tbl>
    <w:p w:rsidR="00C0332C" w:rsidRDefault="00C0332C" w:rsidP="00C0332C">
      <w:pPr>
        <w:pStyle w:val="Balk1"/>
        <w:keepNext w:val="0"/>
        <w:keepLines w:val="0"/>
        <w:spacing w:before="0" w:after="200" w:line="240" w:lineRule="auto"/>
        <w:ind w:left="283" w:right="283" w:firstLine="709"/>
        <w:jc w:val="both"/>
        <w:rPr>
          <w:rFonts w:ascii="Times New Roman" w:eastAsia="Times New Roman" w:hAnsi="Times New Roman" w:cs="Times New Roman"/>
          <w:color w:val="010000"/>
          <w:sz w:val="24"/>
          <w:szCs w:val="26"/>
        </w:rPr>
      </w:pPr>
    </w:p>
    <w:p w:rsidR="00C0332C" w:rsidRPr="00C0332C" w:rsidRDefault="00C0332C" w:rsidP="00C0332C">
      <w:pPr>
        <w:pStyle w:val="Balk1"/>
        <w:keepNext w:val="0"/>
        <w:keepLines w:val="0"/>
        <w:spacing w:before="0" w:after="200" w:line="240" w:lineRule="auto"/>
        <w:ind w:left="283" w:right="283" w:firstLine="709"/>
        <w:jc w:val="both"/>
        <w:rPr>
          <w:rFonts w:ascii="Times New Roman" w:eastAsia="Times New Roman" w:hAnsi="Times New Roman" w:cs="Times New Roman"/>
          <w:b/>
          <w:color w:val="010000"/>
          <w:sz w:val="24"/>
        </w:rPr>
      </w:pPr>
      <w:r w:rsidRPr="00C0332C">
        <w:rPr>
          <w:rFonts w:ascii="Times New Roman" w:eastAsia="Times New Roman" w:hAnsi="Times New Roman" w:cs="Times New Roman"/>
          <w:b/>
          <w:color w:val="010000"/>
          <w:sz w:val="24"/>
          <w:szCs w:val="26"/>
        </w:rPr>
        <w:t>KARŞIOY GEREKÇESİ</w:t>
      </w:r>
    </w:p>
    <w:p w:rsidR="00C0332C" w:rsidRPr="00C0332C" w:rsidRDefault="00C0332C" w:rsidP="00C0332C">
      <w:pPr>
        <w:pStyle w:val="GvdeMetni"/>
        <w:spacing w:before="0" w:beforeAutospacing="0" w:after="200" w:afterAutospacing="0" w:line="240" w:lineRule="auto"/>
        <w:ind w:left="283" w:right="283" w:firstLine="709"/>
        <w:jc w:val="both"/>
        <w:rPr>
          <w:color w:val="010000"/>
        </w:rPr>
      </w:pPr>
      <w:r w:rsidRPr="00C0332C">
        <w:rPr>
          <w:color w:val="010000"/>
          <w:szCs w:val="26"/>
        </w:rPr>
        <w:t>Millet Partisi'nin 2000 yılı hesaplarının incelenmesinde gelir ve gider defterinin Noter tarafından onaylandığı saptanmıştır.</w:t>
      </w:r>
    </w:p>
    <w:p w:rsidR="00C0332C" w:rsidRPr="00C0332C" w:rsidRDefault="00C0332C" w:rsidP="00C0332C">
      <w:pPr>
        <w:spacing w:after="200"/>
        <w:ind w:left="283" w:right="283" w:firstLine="709"/>
        <w:jc w:val="both"/>
        <w:rPr>
          <w:color w:val="010000"/>
        </w:rPr>
      </w:pPr>
      <w:r w:rsidRPr="00C0332C">
        <w:rPr>
          <w:color w:val="010000"/>
          <w:szCs w:val="26"/>
        </w:rPr>
        <w:t xml:space="preserve">2820 sayılı Siyasi Partiler Yasası'nın 60. maddesinin ilk fıkrasında, 'Her kademedeki parti organları üye kayıt defteri, karar defteri, gelen ve giden evrak kayıt defteri, gelir ve gider defteri ile demirbaş eşya defteri tutmak zorundadırlar.'; altıncı fıkrasında da 'Bütün defterlerin sayfaları ve kaç sayfadan ibaret oldukları teşkilâtın bulunduğu ilgili seçim kurulu başkanı tarafından mühürlenir ve tasdik edilir' denilmiş, aynı Yasa'nın 113. maddesinde ise bu Kanun'un 60. maddesinde yazılı defter ve kayıtları tutmayanların, altı aydan bir yıla, bu defter ve kayıtları tahrif veya yok edenlerin veya gizleyenlerin, bir yıldan üç yıla kadar hapis cezası ile cezalandırılacakları belirtilmiştir. Yürürlükten kaldırılan 765 sayılı Yasa'nın 235 ve 26.9.2004 günlü 5237 sayılı yeni Ceza Yasası'nın 279. maddelerinde de göreviyle ilgili olarak kamu adına soruşturma ve kovuşturma gerektiren bir suçun işlendiğini öğrenip de yetkili makamlara </w:t>
      </w:r>
      <w:r w:rsidRPr="00C0332C">
        <w:rPr>
          <w:color w:val="010000"/>
          <w:szCs w:val="26"/>
        </w:rPr>
        <w:lastRenderedPageBreak/>
        <w:t>bildirmeyen kamu görevlilerinin cezalandırılmaları öngörülmüştür. Ceza yasalarında belirtilen söz konusu bildirimin yapılabilmesi için öncelikle bir suç işlenmesi gerektiği açıktır.</w:t>
      </w:r>
    </w:p>
    <w:p w:rsidR="00C0332C" w:rsidRPr="00C0332C" w:rsidRDefault="00C0332C" w:rsidP="00C0332C">
      <w:pPr>
        <w:spacing w:after="200"/>
        <w:ind w:left="283" w:right="283" w:firstLine="709"/>
        <w:jc w:val="both"/>
        <w:rPr>
          <w:color w:val="010000"/>
        </w:rPr>
      </w:pPr>
      <w:r w:rsidRPr="00C0332C">
        <w:rPr>
          <w:color w:val="010000"/>
          <w:szCs w:val="26"/>
        </w:rPr>
        <w:t>2820 sayılı Siyasi Partiler Yasası'nın 113. maddesine göre suç oluşabilmesi için Yasa'nın 60. maddesinde yazılı defter ve kayıtların hiç tutulmaması veya tahrif ya da yok edilmesi gerekmektedir. Oysa Parti defter tutmuş, ancak bunun onayını Yasa ile belirli mercilere değil notere yaptırmıştır. Bu nedenle bir suç işlendiğinin, kabulüne olanak bulunmadığından duyurulması gibi bir yükümlülükten de söz edilemez.</w:t>
      </w:r>
    </w:p>
    <w:p w:rsidR="00C0332C" w:rsidRPr="00C0332C" w:rsidRDefault="00C0332C" w:rsidP="00C0332C">
      <w:pPr>
        <w:spacing w:after="200"/>
        <w:ind w:left="283" w:right="283" w:firstLine="709"/>
        <w:jc w:val="both"/>
        <w:rPr>
          <w:color w:val="010000"/>
        </w:rPr>
      </w:pPr>
      <w:r w:rsidRPr="00C0332C">
        <w:rPr>
          <w:color w:val="010000"/>
          <w:szCs w:val="26"/>
        </w:rPr>
        <w:t>Açıklanan nedenlerle suç duyurusunda bulunma koşulları oluşm</w:t>
      </w:r>
      <w:bookmarkStart w:id="0" w:name="_GoBack"/>
      <w:bookmarkEnd w:id="0"/>
      <w:r w:rsidRPr="00C0332C">
        <w:rPr>
          <w:color w:val="010000"/>
          <w:szCs w:val="26"/>
        </w:rPr>
        <w:t>adığından bu konudaki çoğunluk görüşüne katılmıyorum.</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12"/>
        <w:gridCol w:w="1915"/>
        <w:gridCol w:w="1915"/>
        <w:gridCol w:w="1915"/>
        <w:gridCol w:w="2123"/>
      </w:tblGrid>
      <w:tr w:rsidR="00C0332C" w:rsidTr="00C0332C">
        <w:trPr>
          <w:jc w:val="center"/>
        </w:trPr>
        <w:tc>
          <w:tcPr>
            <w:tcW w:w="978" w:type="pct"/>
            <w:shd w:val="clear" w:color="auto" w:fill="auto"/>
          </w:tcPr>
          <w:p w:rsidR="00C0332C" w:rsidRDefault="00C0332C" w:rsidP="00C0332C">
            <w:pPr>
              <w:spacing w:after="120"/>
              <w:jc w:val="center"/>
              <w:rPr>
                <w:color w:val="010000"/>
              </w:rPr>
            </w:pPr>
          </w:p>
        </w:tc>
        <w:tc>
          <w:tcPr>
            <w:tcW w:w="979" w:type="pct"/>
            <w:shd w:val="clear" w:color="auto" w:fill="auto"/>
          </w:tcPr>
          <w:p w:rsidR="00C0332C" w:rsidRDefault="00C0332C" w:rsidP="00C0332C">
            <w:pPr>
              <w:spacing w:after="120"/>
              <w:jc w:val="center"/>
              <w:rPr>
                <w:color w:val="010000"/>
              </w:rPr>
            </w:pPr>
          </w:p>
        </w:tc>
        <w:tc>
          <w:tcPr>
            <w:tcW w:w="979" w:type="pct"/>
            <w:shd w:val="clear" w:color="auto" w:fill="auto"/>
          </w:tcPr>
          <w:p w:rsidR="00C0332C" w:rsidRDefault="00C0332C" w:rsidP="00C0332C">
            <w:pPr>
              <w:spacing w:after="120"/>
              <w:jc w:val="center"/>
              <w:rPr>
                <w:color w:val="010000"/>
              </w:rPr>
            </w:pPr>
          </w:p>
        </w:tc>
        <w:tc>
          <w:tcPr>
            <w:tcW w:w="979" w:type="pct"/>
            <w:shd w:val="clear" w:color="auto" w:fill="auto"/>
          </w:tcPr>
          <w:p w:rsidR="00C0332C" w:rsidRDefault="00C0332C" w:rsidP="00C0332C">
            <w:pPr>
              <w:spacing w:after="120"/>
              <w:jc w:val="center"/>
              <w:rPr>
                <w:color w:val="010000"/>
              </w:rPr>
            </w:pPr>
          </w:p>
        </w:tc>
        <w:tc>
          <w:tcPr>
            <w:tcW w:w="1086" w:type="pct"/>
            <w:shd w:val="clear" w:color="auto" w:fill="auto"/>
          </w:tcPr>
          <w:p w:rsidR="00C0332C" w:rsidRDefault="00C0332C" w:rsidP="00C0332C">
            <w:pPr>
              <w:spacing w:after="120"/>
              <w:jc w:val="center"/>
              <w:rPr>
                <w:color w:val="010000"/>
              </w:rPr>
            </w:pPr>
            <w:r>
              <w:rPr>
                <w:color w:val="010000"/>
              </w:rPr>
              <w:t xml:space="preserve">Üye </w:t>
            </w:r>
          </w:p>
          <w:p w:rsidR="00C0332C" w:rsidRDefault="00C0332C" w:rsidP="00C0332C">
            <w:pPr>
              <w:spacing w:after="120"/>
              <w:jc w:val="center"/>
              <w:rPr>
                <w:color w:val="010000"/>
              </w:rPr>
            </w:pPr>
            <w:r>
              <w:rPr>
                <w:color w:val="010000"/>
              </w:rPr>
              <w:t>Fulya KANTARCIOĞLU</w:t>
            </w:r>
          </w:p>
          <w:p w:rsidR="00C0332C" w:rsidRPr="00C0332C" w:rsidRDefault="00C0332C" w:rsidP="00C0332C">
            <w:pPr>
              <w:spacing w:after="120"/>
              <w:jc w:val="center"/>
              <w:rPr>
                <w:color w:val="010000"/>
              </w:rPr>
            </w:pPr>
          </w:p>
        </w:tc>
      </w:tr>
    </w:tbl>
    <w:p w:rsidR="00C0332C" w:rsidRPr="00C0332C" w:rsidRDefault="00C0332C" w:rsidP="00C0332C">
      <w:pPr>
        <w:spacing w:after="200"/>
        <w:ind w:left="283" w:right="283" w:firstLine="709"/>
        <w:jc w:val="both"/>
        <w:rPr>
          <w:color w:val="010000"/>
        </w:rPr>
      </w:pPr>
    </w:p>
    <w:sectPr w:rsidR="00C0332C" w:rsidRPr="00C0332C" w:rsidSect="00C0332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DA2" w:rsidRDefault="00585DA2" w:rsidP="00C0332C">
      <w:r>
        <w:separator/>
      </w:r>
    </w:p>
  </w:endnote>
  <w:endnote w:type="continuationSeparator" w:id="0">
    <w:p w:rsidR="00585DA2" w:rsidRDefault="00585DA2" w:rsidP="00C0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32C" w:rsidRDefault="00C0332C"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0332C" w:rsidRDefault="00C0332C" w:rsidP="00C0332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32C" w:rsidRPr="00C0332C" w:rsidRDefault="00C0332C" w:rsidP="005625B0">
    <w:pPr>
      <w:pStyle w:val="AltBilgi"/>
      <w:framePr w:wrap="around" w:vAnchor="text" w:hAnchor="margin" w:xAlign="right" w:y="1"/>
      <w:rPr>
        <w:rStyle w:val="SayfaNumaras"/>
      </w:rPr>
    </w:pPr>
    <w:r w:rsidRPr="00C0332C">
      <w:rPr>
        <w:rStyle w:val="SayfaNumaras"/>
      </w:rPr>
      <w:fldChar w:fldCharType="begin"/>
    </w:r>
    <w:r w:rsidRPr="00C0332C">
      <w:rPr>
        <w:rStyle w:val="SayfaNumaras"/>
      </w:rPr>
      <w:instrText xml:space="preserve"> PAGE </w:instrText>
    </w:r>
    <w:r w:rsidRPr="00C0332C">
      <w:rPr>
        <w:rStyle w:val="SayfaNumaras"/>
      </w:rPr>
      <w:fldChar w:fldCharType="separate"/>
    </w:r>
    <w:r w:rsidRPr="00C0332C">
      <w:rPr>
        <w:rStyle w:val="SayfaNumaras"/>
        <w:noProof/>
      </w:rPr>
      <w:t>1</w:t>
    </w:r>
    <w:r w:rsidRPr="00C0332C">
      <w:rPr>
        <w:rStyle w:val="SayfaNumaras"/>
      </w:rPr>
      <w:fldChar w:fldCharType="end"/>
    </w:r>
  </w:p>
  <w:p w:rsidR="00C0332C" w:rsidRDefault="00C0332C" w:rsidP="00C0332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DA2" w:rsidRDefault="00585DA2" w:rsidP="00C0332C">
      <w:r>
        <w:separator/>
      </w:r>
    </w:p>
  </w:footnote>
  <w:footnote w:type="continuationSeparator" w:id="0">
    <w:p w:rsidR="00585DA2" w:rsidRDefault="00585DA2" w:rsidP="00C0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32C" w:rsidRPr="00C0332C" w:rsidRDefault="00C0332C" w:rsidP="00C0332C">
    <w:pPr>
      <w:pStyle w:val="stBilgi"/>
      <w:rPr>
        <w:b/>
      </w:rPr>
    </w:pPr>
    <w:r w:rsidRPr="00C0332C">
      <w:rPr>
        <w:b/>
      </w:rPr>
      <w:t>Esas Sayısı:2001/26 (Siyasî Parti Malî Denetimi)</w:t>
    </w:r>
  </w:p>
  <w:p w:rsidR="00C0332C" w:rsidRDefault="00C0332C" w:rsidP="00C0332C">
    <w:pPr>
      <w:pStyle w:val="stBilgi"/>
      <w:rPr>
        <w:b/>
      </w:rPr>
    </w:pPr>
    <w:r>
      <w:rPr>
        <w:b/>
      </w:rPr>
      <w:t>Karar Sayısı:2008/68</w:t>
    </w:r>
  </w:p>
  <w:p w:rsidR="00C0332C" w:rsidRPr="00C0332C" w:rsidRDefault="00C0332C" w:rsidP="00C0332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2C"/>
    <w:rsid w:val="00041752"/>
    <w:rsid w:val="00065B42"/>
    <w:rsid w:val="000E45EB"/>
    <w:rsid w:val="000F1EDB"/>
    <w:rsid w:val="00124B66"/>
    <w:rsid w:val="00286DD9"/>
    <w:rsid w:val="00347E8D"/>
    <w:rsid w:val="00503F1E"/>
    <w:rsid w:val="00585DA2"/>
    <w:rsid w:val="00821D56"/>
    <w:rsid w:val="008D57F7"/>
    <w:rsid w:val="00B04393"/>
    <w:rsid w:val="00C0332C"/>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A884"/>
  <w15:chartTrackingRefBased/>
  <w15:docId w15:val="{DDA30E5A-F822-426C-927F-079654A6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32C"/>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GvdeMetni">
    <w:name w:val="Body Text"/>
    <w:basedOn w:val="Normal"/>
    <w:link w:val="GvdeMetniChar"/>
    <w:uiPriority w:val="99"/>
    <w:semiHidden/>
    <w:unhideWhenUsed/>
    <w:rsid w:val="00C0332C"/>
    <w:pPr>
      <w:spacing w:before="100" w:beforeAutospacing="1" w:after="100" w:afterAutospacing="1" w:line="288" w:lineRule="atLeast"/>
      <w:ind w:firstLine="720"/>
    </w:pPr>
    <w:rPr>
      <w:color w:val="000000"/>
    </w:rPr>
  </w:style>
  <w:style w:type="character" w:customStyle="1" w:styleId="GvdeMetniChar">
    <w:name w:val="Gövde Metni Char"/>
    <w:basedOn w:val="VarsaylanParagrafYazTipi"/>
    <w:link w:val="GvdeMetni"/>
    <w:uiPriority w:val="99"/>
    <w:semiHidden/>
    <w:rsid w:val="00C0332C"/>
    <w:rPr>
      <w:rFonts w:ascii="Times New Roman" w:eastAsiaTheme="minorEastAsia" w:hAnsi="Times New Roman" w:cs="Times New Roman"/>
      <w:color w:val="000000"/>
      <w:sz w:val="24"/>
      <w:szCs w:val="24"/>
      <w:lang w:eastAsia="tr-TR"/>
    </w:rPr>
  </w:style>
  <w:style w:type="paragraph" w:styleId="stBilgi">
    <w:name w:val="header"/>
    <w:basedOn w:val="Normal"/>
    <w:link w:val="stBilgiChar"/>
    <w:uiPriority w:val="99"/>
    <w:unhideWhenUsed/>
    <w:rsid w:val="00C0332C"/>
    <w:pPr>
      <w:tabs>
        <w:tab w:val="center" w:pos="4536"/>
        <w:tab w:val="right" w:pos="9072"/>
      </w:tabs>
    </w:pPr>
  </w:style>
  <w:style w:type="character" w:customStyle="1" w:styleId="stBilgiChar">
    <w:name w:val="Üst Bilgi Char"/>
    <w:basedOn w:val="VarsaylanParagrafYazTipi"/>
    <w:link w:val="stBilgi"/>
    <w:uiPriority w:val="99"/>
    <w:rsid w:val="00C0332C"/>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C0332C"/>
    <w:pPr>
      <w:tabs>
        <w:tab w:val="center" w:pos="4536"/>
        <w:tab w:val="right" w:pos="9072"/>
      </w:tabs>
    </w:pPr>
  </w:style>
  <w:style w:type="character" w:customStyle="1" w:styleId="AltBilgiChar">
    <w:name w:val="Alt Bilgi Char"/>
    <w:basedOn w:val="VarsaylanParagrafYazTipi"/>
    <w:link w:val="AltBilgi"/>
    <w:uiPriority w:val="99"/>
    <w:rsid w:val="00C0332C"/>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C0332C"/>
  </w:style>
  <w:style w:type="table" w:styleId="TabloKlavuzu">
    <w:name w:val="Table Grid"/>
    <w:basedOn w:val="NormalTablo"/>
    <w:uiPriority w:val="39"/>
    <w:rsid w:val="00C033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1571</Words>
  <Characters>8961</Characters>
  <Application>Microsoft Office Word</Application>
  <DocSecurity>0</DocSecurity>
  <Lines>74</Lines>
  <Paragraphs>21</Paragraphs>
  <ScaleCrop>false</ScaleCrop>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2020-06-15T08:32:00Z</dcterms:created>
  <dcterms:modified xsi:type="dcterms:W3CDTF">2020-06-15T08:34:00Z</dcterms:modified>
</cp:coreProperties>
</file>