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E29" w:rsidRDefault="003E5E29" w:rsidP="003E5E29">
      <w:pPr>
        <w:spacing w:after="200"/>
        <w:ind w:left="283" w:right="283"/>
        <w:jc w:val="center"/>
        <w:rPr>
          <w:rFonts w:ascii="Times New Roman" w:hAnsi="Times New Roman" w:cs="Times New Roman"/>
          <w:b/>
          <w:bCs/>
          <w:caps/>
          <w:color w:val="010000"/>
          <w:szCs w:val="26"/>
        </w:rPr>
      </w:pPr>
      <w:r w:rsidRPr="003E5E29">
        <w:rPr>
          <w:rFonts w:ascii="Times New Roman" w:hAnsi="Times New Roman" w:cs="Times New Roman"/>
          <w:b/>
          <w:bCs/>
          <w:caps/>
          <w:color w:val="010000"/>
          <w:szCs w:val="26"/>
        </w:rPr>
        <w:t>ANAYASA MAHKEMESİ KARARI</w:t>
      </w:r>
    </w:p>
    <w:p w:rsidR="003E5E29" w:rsidRPr="003E5E29" w:rsidRDefault="003E5E29" w:rsidP="003E5E29">
      <w:pPr>
        <w:spacing w:after="200"/>
        <w:ind w:left="283" w:right="283" w:firstLine="709"/>
        <w:jc w:val="center"/>
        <w:rPr>
          <w:rFonts w:ascii="Times New Roman" w:hAnsi="Times New Roman" w:cs="Times New Roman"/>
          <w:b/>
          <w:caps/>
          <w:color w:val="010000"/>
        </w:rPr>
      </w:pPr>
    </w:p>
    <w:p w:rsidR="003E5E29" w:rsidRDefault="003E5E29" w:rsidP="003E5E29">
      <w:pPr>
        <w:rPr>
          <w:rFonts w:ascii="Times New Roman" w:hAnsi="Times New Roman" w:cs="Times New Roman"/>
          <w:b/>
          <w:bCs/>
          <w:color w:val="010000"/>
          <w:szCs w:val="26"/>
        </w:rPr>
      </w:pPr>
      <w:r>
        <w:rPr>
          <w:rFonts w:ascii="Times New Roman" w:hAnsi="Times New Roman" w:cs="Times New Roman"/>
          <w:b/>
          <w:bCs/>
          <w:color w:val="010000"/>
          <w:szCs w:val="26"/>
        </w:rPr>
        <w:t>Esas Sayısı:2000/15 (Siyasî Parti Malî Denetimi)</w:t>
      </w:r>
    </w:p>
    <w:p w:rsidR="003E5E29" w:rsidRDefault="003E5E29" w:rsidP="003E5E29">
      <w:pPr>
        <w:rPr>
          <w:rFonts w:ascii="Times New Roman" w:hAnsi="Times New Roman" w:cs="Times New Roman"/>
          <w:b/>
          <w:color w:val="010000"/>
        </w:rPr>
      </w:pPr>
      <w:r>
        <w:rPr>
          <w:rFonts w:ascii="Times New Roman" w:hAnsi="Times New Roman" w:cs="Times New Roman"/>
          <w:b/>
          <w:color w:val="010000"/>
        </w:rPr>
        <w:t>Karar Sayısı:2007/1</w:t>
      </w:r>
    </w:p>
    <w:p w:rsidR="003E5E29" w:rsidRDefault="003E5E29" w:rsidP="003E5E29">
      <w:pPr>
        <w:rPr>
          <w:rFonts w:ascii="Times New Roman" w:hAnsi="Times New Roman" w:cs="Times New Roman"/>
          <w:b/>
          <w:color w:val="010000"/>
        </w:rPr>
      </w:pPr>
      <w:r>
        <w:rPr>
          <w:rFonts w:ascii="Times New Roman" w:hAnsi="Times New Roman" w:cs="Times New Roman"/>
          <w:b/>
          <w:color w:val="010000"/>
        </w:rPr>
        <w:t>Karar Günü:27.2.2007</w:t>
      </w:r>
    </w:p>
    <w:p w:rsidR="003E5E29" w:rsidRDefault="003E5E29" w:rsidP="003E5E29">
      <w:pPr>
        <w:rPr>
          <w:rFonts w:ascii="Times New Roman" w:hAnsi="Times New Roman" w:cs="Times New Roman"/>
          <w:b/>
          <w:color w:val="010000"/>
        </w:rPr>
      </w:pPr>
      <w:r>
        <w:rPr>
          <w:rFonts w:ascii="Times New Roman" w:hAnsi="Times New Roman" w:cs="Times New Roman"/>
          <w:b/>
          <w:color w:val="010000"/>
        </w:rPr>
        <w:t>R.G. Tarih-Sayı:15.11.2007-26701</w:t>
      </w:r>
    </w:p>
    <w:p w:rsidR="003E5E29" w:rsidRPr="003E5E29" w:rsidRDefault="003E5E29" w:rsidP="003E5E29">
      <w:pPr>
        <w:rPr>
          <w:rFonts w:ascii="Times New Roman" w:hAnsi="Times New Roman" w:cs="Times New Roman"/>
          <w:b/>
          <w:color w:val="010000"/>
        </w:rPr>
      </w:pP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I- MALÎ DENETİMİN KONUSU</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Liberal Demokrat Parti'nin 1999 yılı </w:t>
      </w:r>
      <w:proofErr w:type="spellStart"/>
      <w:r w:rsidRPr="003E5E29">
        <w:rPr>
          <w:rFonts w:ascii="Times New Roman" w:hAnsi="Times New Roman" w:cs="Times New Roman"/>
          <w:color w:val="010000"/>
          <w:szCs w:val="26"/>
        </w:rPr>
        <w:t>kesinhesabının</w:t>
      </w:r>
      <w:proofErr w:type="spellEnd"/>
      <w:r w:rsidRPr="003E5E29">
        <w:rPr>
          <w:rFonts w:ascii="Times New Roman" w:hAnsi="Times New Roman" w:cs="Times New Roman"/>
          <w:color w:val="010000"/>
          <w:szCs w:val="26"/>
        </w:rPr>
        <w:t xml:space="preserve"> incelenmesidir.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II- İLK İNCELEME</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Anayasa Mahkemesi İçtüzüğü'nün 16. maddesi uyarınca, Mustafa BUMİN, </w:t>
      </w:r>
      <w:proofErr w:type="spellStart"/>
      <w:r w:rsidRPr="003E5E29">
        <w:rPr>
          <w:rFonts w:ascii="Times New Roman" w:hAnsi="Times New Roman" w:cs="Times New Roman"/>
          <w:color w:val="010000"/>
          <w:szCs w:val="26"/>
        </w:rPr>
        <w:t>Samia</w:t>
      </w:r>
      <w:proofErr w:type="spellEnd"/>
      <w:r w:rsidRPr="003E5E29">
        <w:rPr>
          <w:rFonts w:ascii="Times New Roman" w:hAnsi="Times New Roman" w:cs="Times New Roman"/>
          <w:color w:val="010000"/>
          <w:szCs w:val="26"/>
        </w:rPr>
        <w:t xml:space="preserve"> AKBULUT, </w:t>
      </w:r>
      <w:proofErr w:type="spellStart"/>
      <w:r w:rsidRPr="003E5E29">
        <w:rPr>
          <w:rFonts w:ascii="Times New Roman" w:hAnsi="Times New Roman" w:cs="Times New Roman"/>
          <w:color w:val="010000"/>
          <w:szCs w:val="26"/>
        </w:rPr>
        <w:t>Sacit</w:t>
      </w:r>
      <w:proofErr w:type="spellEnd"/>
      <w:r w:rsidRPr="003E5E29">
        <w:rPr>
          <w:rFonts w:ascii="Times New Roman" w:hAnsi="Times New Roman" w:cs="Times New Roman"/>
          <w:color w:val="010000"/>
          <w:szCs w:val="26"/>
        </w:rPr>
        <w:t xml:space="preserve"> ADALI, Ali HÜNER, Fulya KANTARCIOĞLU, Aysel PEKİNER, Mahir Can ILICAK, Rüştü SÖNMEZ, Ertuğrul ERSOY, Tülay TUĞCU ve Ahmet </w:t>
      </w:r>
      <w:proofErr w:type="spellStart"/>
      <w:r w:rsidRPr="003E5E29">
        <w:rPr>
          <w:rFonts w:ascii="Times New Roman" w:hAnsi="Times New Roman" w:cs="Times New Roman"/>
          <w:color w:val="010000"/>
          <w:szCs w:val="26"/>
        </w:rPr>
        <w:t>AKYALÇIN'ın</w:t>
      </w:r>
      <w:proofErr w:type="spellEnd"/>
      <w:r w:rsidRPr="003E5E29">
        <w:rPr>
          <w:rFonts w:ascii="Times New Roman" w:hAnsi="Times New Roman" w:cs="Times New Roman"/>
          <w:color w:val="010000"/>
          <w:szCs w:val="26"/>
        </w:rPr>
        <w:t xml:space="preserve"> katılmalarıyla 17.5.2001 gününde yapılan ilk inceleme toplantısında; </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Liberal Demokrat Parti'nin 1999 yılı </w:t>
      </w:r>
      <w:proofErr w:type="spellStart"/>
      <w:r w:rsidRPr="003E5E29">
        <w:rPr>
          <w:rFonts w:ascii="Times New Roman" w:hAnsi="Times New Roman" w:cs="Times New Roman"/>
          <w:color w:val="010000"/>
          <w:szCs w:val="26"/>
        </w:rPr>
        <w:t>kesinhesabının</w:t>
      </w:r>
      <w:proofErr w:type="spellEnd"/>
      <w:r w:rsidRPr="003E5E29">
        <w:rPr>
          <w:rFonts w:ascii="Times New Roman" w:hAnsi="Times New Roman" w:cs="Times New Roman"/>
          <w:color w:val="010000"/>
          <w:szCs w:val="26"/>
        </w:rPr>
        <w:t xml:space="preserve"> incelenmesi sonucunda;</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'Dosyada eksiklik bulunmadığından işin esasının incelenmesine, oybirliğiyle' karar verilmiştir.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III- ESASIN İNCELENMESİ</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Parti'nin Anayasa Mahkemesi'ne verdiği 1999 yılı </w:t>
      </w:r>
      <w:proofErr w:type="spellStart"/>
      <w:r w:rsidRPr="003E5E29">
        <w:rPr>
          <w:rFonts w:ascii="Times New Roman" w:hAnsi="Times New Roman" w:cs="Times New Roman"/>
          <w:color w:val="010000"/>
          <w:szCs w:val="26"/>
        </w:rPr>
        <w:t>kesinhesap</w:t>
      </w:r>
      <w:proofErr w:type="spellEnd"/>
      <w:r w:rsidRPr="003E5E29">
        <w:rPr>
          <w:rFonts w:ascii="Times New Roman" w:hAnsi="Times New Roman" w:cs="Times New Roman"/>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 </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Denetimin maddi öğelerini oluşturan defter ve belgelerde Parti'nin Genel Merkezi ile 63 il örgütünün 1999 yılı gelirlerinin 50.986.334.733.- lira, giderlerinin 50.600.513.306.- lira ve 2000 yılına nakit devrinin 385.821.427.- lira; gelir ile gider ve nakit devir rakamlarının toplamının birbirine denk olduğu görülmüştür. </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A- Gelirlerin İncelenmesi</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1- Genel Merkez Gelirleri</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Parti Genel Merkezi'nin 1999 yılı gelirleri 16.390.916.812.- lira olarak gösterilmiştir.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 </w:t>
      </w:r>
      <w:r w:rsidRPr="003E5E29">
        <w:rPr>
          <w:rFonts w:ascii="Times New Roman" w:hAnsi="Times New Roman" w:cs="Times New Roman"/>
          <w:color w:val="010000"/>
          <w:szCs w:val="26"/>
        </w:rPr>
        <w:t>Bunun, 16.370.000.000.- lirası bağışlar, 3.000.000.- lirası teşkilattan sağlanan gelirler ve 17.916.812.- lirası önceki yıldan devreden nakit mevcududur.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Parti Genel Merkezi'nin 1999 yılı defter kayıtları ve gelir belgeleri üzerinde yapılan incelemede,</w:t>
      </w:r>
      <w:r w:rsidRPr="003E5E29">
        <w:rPr>
          <w:rFonts w:ascii="Times New Roman" w:hAnsi="Times New Roman" w:cs="Times New Roman"/>
          <w:color w:val="010000"/>
          <w:szCs w:val="26"/>
        </w:rPr>
        <w:t xml:space="preserve"> </w:t>
      </w:r>
      <w:r w:rsidRPr="003E5E29">
        <w:rPr>
          <w:rFonts w:ascii="Times New Roman" w:hAnsi="Times New Roman" w:cs="Times New Roman"/>
          <w:color w:val="010000"/>
          <w:szCs w:val="26"/>
        </w:rPr>
        <w:t>gelirlerin 2820 sayılı Yasa'ya uygun olarak sağlandığı sonucuna varılmıştır.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2- İl Örgütleri Gelirleri</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Parti il örgütlerinin 1999 yılı gelirleri toplamı 34.595.417.921.- lira olarak gösterilmiştir.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lastRenderedPageBreak/>
        <w:t>Bunun, 450.000.000.- lirası üye giriş aidatları, 8.920.897.000.- lirası üye aidatları, 20.486.348.599.- lirası bağış gelirleri, 3.802.499.500.- lirası sosyal faaliyet gelirleri, 521.548.500.- bayrak, flama ve rozet satış gelirleri, 187.001.000.- lirası diğer gelirler, 227.123.322.- lirası önceki yıldan devreden nakit mevcududur.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Parti il örgütlerinin </w:t>
      </w:r>
      <w:proofErr w:type="spellStart"/>
      <w:r w:rsidRPr="003E5E29">
        <w:rPr>
          <w:rFonts w:ascii="Times New Roman" w:hAnsi="Times New Roman" w:cs="Times New Roman"/>
          <w:color w:val="010000"/>
          <w:szCs w:val="26"/>
        </w:rPr>
        <w:t>kesinhesap</w:t>
      </w:r>
      <w:proofErr w:type="spellEnd"/>
      <w:r w:rsidRPr="003E5E29">
        <w:rPr>
          <w:rFonts w:ascii="Times New Roman" w:hAnsi="Times New Roman" w:cs="Times New Roman"/>
          <w:color w:val="010000"/>
          <w:szCs w:val="26"/>
        </w:rPr>
        <w:t xml:space="preserve"> çizelgelerinin gelir bölümü üzerinde yapılan incelemede, gelirlerin 2820 sayılı Yasa'ya uygun olduğu görülmüştür.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B- Giderlerin İncelenmesi</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1- Genel Merkez Giderleri</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Parti Genel Merkezi'nin 1999 yılı giderleri 16.368.239.357.- lira olarak gösterilmiştir.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Bunun, 4.259.805.120.- lirası kongre, temsil ve ağırlama giderleri, 28.375.955.- lirası kırtasiye ve büro malzemeleri giderleri, 1.496.568.456.- lirası ulaşım ve haberleşme giderleri, 10.079.750.000.- lirası propaganda giderleri, 460.000.000.- lirası demirbaş alım giderleri, 43.739.826.- lirası diğer yönetim giderleridir.</w:t>
      </w:r>
    </w:p>
    <w:p w:rsidR="003E5E29" w:rsidRPr="003E5E29" w:rsidRDefault="003E5E29" w:rsidP="003E5E29">
      <w:pPr>
        <w:spacing w:after="200"/>
        <w:ind w:left="283" w:right="283" w:firstLine="709"/>
        <w:jc w:val="both"/>
        <w:rPr>
          <w:rFonts w:ascii="Times New Roman" w:hAnsi="Times New Roman" w:cs="Times New Roman"/>
          <w:color w:val="010000"/>
          <w:szCs w:val="26"/>
        </w:rPr>
      </w:pPr>
      <w:r w:rsidRPr="003E5E29">
        <w:rPr>
          <w:rFonts w:ascii="Times New Roman" w:hAnsi="Times New Roman" w:cs="Times New Roman"/>
          <w:color w:val="010000"/>
          <w:szCs w:val="26"/>
        </w:rPr>
        <w:t>16. 390.916.812.- lira gelir ile 16.368.239.357.- lira gider arasındaki farkı oluşturan 22.677.455.- lira nakit mevcudu olarak 2000 yılına devretmiştir.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Genel Merkez'in 1999 yılı defter kayıtları ve gider belgeleri üzerinde yapılan incelemede, giderlerin 2820 sayılı Yasa'ya uygun olarak gerçekleştirildiği sonucuna varılmıştır.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2- İl Örgütleri Giderleri</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Parti il örgütlerinin 1999 yılı giderleri toplamı 34.232.273.949.- lira olarak gösterilmiştir.</w:t>
      </w:r>
    </w:p>
    <w:p w:rsidR="003E5E29" w:rsidRPr="003E5E29" w:rsidRDefault="003E5E29" w:rsidP="003E5E29">
      <w:pPr>
        <w:pStyle w:val="GvdeMetni"/>
        <w:spacing w:after="200"/>
        <w:ind w:left="283" w:right="283" w:firstLine="709"/>
        <w:rPr>
          <w:color w:val="010000"/>
          <w:sz w:val="24"/>
        </w:rPr>
      </w:pPr>
      <w:r w:rsidRPr="003E5E29">
        <w:rPr>
          <w:color w:val="010000"/>
          <w:sz w:val="24"/>
        </w:rPr>
        <w:t>Bunun, 4.285.000.000.- lirası personel giderleri, 3.207.331.999.- lirası kongre, temsil ve ağırlama giderleri, 1.706.073.675.- lirası kırtasiye ve büro malzemeleri giderleri, 4.229.205.850.- lirası ulaşım ve haberleşme giderleri, 10.193.140.000.- kira giderleri, 69.214.550.- lirası vergi harç ve sigorta giderleri, 8.141.113.000.- lirası propaganda giderleri, 1.069.400.000.- lirası demirbaş alım giderleri, 1.331.794.875.- lirası diğer yönetim giderleridir.</w:t>
      </w:r>
    </w:p>
    <w:p w:rsidR="003E5E29" w:rsidRPr="003E5E29" w:rsidRDefault="003E5E29" w:rsidP="003E5E29">
      <w:pPr>
        <w:spacing w:after="200"/>
        <w:ind w:left="283" w:right="283" w:firstLine="709"/>
        <w:jc w:val="both"/>
        <w:rPr>
          <w:rFonts w:ascii="Times New Roman" w:hAnsi="Times New Roman" w:cs="Times New Roman"/>
          <w:color w:val="010000"/>
          <w:szCs w:val="26"/>
        </w:rPr>
      </w:pPr>
      <w:r w:rsidRPr="003E5E29">
        <w:rPr>
          <w:rFonts w:ascii="Times New Roman" w:hAnsi="Times New Roman" w:cs="Times New Roman"/>
          <w:color w:val="010000"/>
          <w:szCs w:val="26"/>
        </w:rPr>
        <w:t>34. 595.417.921.- lira gelir ile 34.232.273.949.- lira gider arasındaki farkı oluşturan 363.143.972.- lira nakit mevcudu olarak 2000 yılına devretmiştir.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İl örgütlerinin </w:t>
      </w:r>
      <w:proofErr w:type="spellStart"/>
      <w:r w:rsidRPr="003E5E29">
        <w:rPr>
          <w:rFonts w:ascii="Times New Roman" w:hAnsi="Times New Roman" w:cs="Times New Roman"/>
          <w:color w:val="010000"/>
          <w:szCs w:val="26"/>
        </w:rPr>
        <w:t>kesinhesap</w:t>
      </w:r>
      <w:proofErr w:type="spellEnd"/>
      <w:r w:rsidRPr="003E5E29">
        <w:rPr>
          <w:rFonts w:ascii="Times New Roman" w:hAnsi="Times New Roman" w:cs="Times New Roman"/>
          <w:color w:val="010000"/>
          <w:szCs w:val="26"/>
        </w:rPr>
        <w:t xml:space="preserve"> çizelgelerinin gider bölümü üzerinde yapılan incelemede, giderlerin 2820 sayılı Yasa'ya uygun olduğu görülmüştür.</w:t>
      </w:r>
    </w:p>
    <w:p w:rsidR="003E5E29" w:rsidRPr="003E5E29" w:rsidRDefault="003E5E29" w:rsidP="003E5E29">
      <w:pPr>
        <w:pStyle w:val="GvdeMetni"/>
        <w:spacing w:after="200"/>
        <w:ind w:left="283" w:right="283" w:firstLine="709"/>
        <w:rPr>
          <w:color w:val="010000"/>
          <w:sz w:val="24"/>
        </w:rPr>
      </w:pPr>
      <w:r w:rsidRPr="003E5E29">
        <w:rPr>
          <w:b/>
          <w:bCs/>
          <w:color w:val="010000"/>
          <w:sz w:val="24"/>
        </w:rPr>
        <w:t>D- Parti Mallarının İncelenmesi</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Parti'nin, 1999 yılı içinde taşınmazının bulunmadığı,</w:t>
      </w:r>
      <w:r w:rsidRPr="003E5E29">
        <w:rPr>
          <w:rFonts w:ascii="Times New Roman" w:hAnsi="Times New Roman" w:cs="Times New Roman"/>
          <w:color w:val="010000"/>
          <w:szCs w:val="26"/>
        </w:rPr>
        <w:t xml:space="preserve"> </w:t>
      </w:r>
      <w:r w:rsidRPr="003E5E29">
        <w:rPr>
          <w:rFonts w:ascii="Times New Roman" w:hAnsi="Times New Roman" w:cs="Times New Roman"/>
          <w:color w:val="010000"/>
          <w:szCs w:val="26"/>
        </w:rPr>
        <w:t>1.529.400.000.- lira değerinde demirbaş edindiği anlaşılmıştır.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 xml:space="preserve">Parti'nin 1999 yılı </w:t>
      </w:r>
      <w:proofErr w:type="spellStart"/>
      <w:r w:rsidRPr="003E5E29">
        <w:rPr>
          <w:rFonts w:ascii="Times New Roman" w:hAnsi="Times New Roman" w:cs="Times New Roman"/>
          <w:color w:val="010000"/>
          <w:szCs w:val="26"/>
        </w:rPr>
        <w:t>kesinhesabının</w:t>
      </w:r>
      <w:proofErr w:type="spellEnd"/>
      <w:r w:rsidRPr="003E5E29">
        <w:rPr>
          <w:rFonts w:ascii="Times New Roman" w:hAnsi="Times New Roman" w:cs="Times New Roman"/>
          <w:color w:val="010000"/>
          <w:szCs w:val="26"/>
        </w:rPr>
        <w:t xml:space="preserve"> ve eklerinin incelenmesinde satın alma suretiyle elde edilen söz konusu demirbaşların 2820 sayılı Yasa'ya uygun olarak sağlandığı sonucuna varılmıştır.</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b/>
          <w:bCs/>
          <w:color w:val="010000"/>
          <w:szCs w:val="26"/>
        </w:rPr>
        <w:t>IV- SONUÇ</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t>Liberal Demokrat Parti'nin 1999</w:t>
      </w:r>
      <w:r w:rsidRPr="003E5E29">
        <w:rPr>
          <w:rFonts w:ascii="Times New Roman" w:hAnsi="Times New Roman" w:cs="Times New Roman"/>
          <w:color w:val="010000"/>
          <w:szCs w:val="26"/>
        </w:rPr>
        <w:t xml:space="preserve"> </w:t>
      </w:r>
      <w:r w:rsidRPr="003E5E29">
        <w:rPr>
          <w:rFonts w:ascii="Times New Roman" w:hAnsi="Times New Roman" w:cs="Times New Roman"/>
          <w:color w:val="010000"/>
          <w:szCs w:val="26"/>
        </w:rPr>
        <w:t>yılı</w:t>
      </w:r>
      <w:r w:rsidRPr="003E5E29">
        <w:rPr>
          <w:rFonts w:ascii="Times New Roman" w:hAnsi="Times New Roman" w:cs="Times New Roman"/>
          <w:color w:val="010000"/>
          <w:szCs w:val="26"/>
        </w:rPr>
        <w:t xml:space="preserve"> </w:t>
      </w:r>
      <w:proofErr w:type="spellStart"/>
      <w:r w:rsidRPr="003E5E29">
        <w:rPr>
          <w:rFonts w:ascii="Times New Roman" w:hAnsi="Times New Roman" w:cs="Times New Roman"/>
          <w:color w:val="010000"/>
          <w:szCs w:val="26"/>
        </w:rPr>
        <w:t>kesinhesabının</w:t>
      </w:r>
      <w:proofErr w:type="spellEnd"/>
      <w:r w:rsidRPr="003E5E29">
        <w:rPr>
          <w:rFonts w:ascii="Times New Roman" w:hAnsi="Times New Roman" w:cs="Times New Roman"/>
          <w:color w:val="010000"/>
          <w:szCs w:val="26"/>
        </w:rPr>
        <w:t xml:space="preserve"> incelenmesi sonucunda;</w:t>
      </w:r>
    </w:p>
    <w:p w:rsidR="003E5E29" w:rsidRPr="003E5E29" w:rsidRDefault="003E5E29" w:rsidP="003E5E29">
      <w:pPr>
        <w:spacing w:after="200"/>
        <w:ind w:left="283" w:right="283" w:firstLine="709"/>
        <w:jc w:val="both"/>
        <w:rPr>
          <w:rFonts w:ascii="Times New Roman" w:hAnsi="Times New Roman" w:cs="Times New Roman"/>
          <w:color w:val="010000"/>
        </w:rPr>
      </w:pPr>
      <w:r w:rsidRPr="003E5E29">
        <w:rPr>
          <w:rFonts w:ascii="Times New Roman" w:hAnsi="Times New Roman" w:cs="Times New Roman"/>
          <w:color w:val="010000"/>
          <w:szCs w:val="26"/>
        </w:rPr>
        <w:lastRenderedPageBreak/>
        <w:t xml:space="preserve">Parti'nin </w:t>
      </w:r>
      <w:proofErr w:type="spellStart"/>
      <w:r w:rsidRPr="003E5E29">
        <w:rPr>
          <w:rFonts w:ascii="Times New Roman" w:hAnsi="Times New Roman" w:cs="Times New Roman"/>
          <w:color w:val="010000"/>
          <w:szCs w:val="26"/>
        </w:rPr>
        <w:t>kesinhesabında</w:t>
      </w:r>
      <w:proofErr w:type="spellEnd"/>
      <w:r w:rsidRPr="003E5E29">
        <w:rPr>
          <w:rFonts w:ascii="Times New Roman" w:hAnsi="Times New Roman" w:cs="Times New Roman"/>
          <w:color w:val="010000"/>
          <w:szCs w:val="26"/>
        </w:rPr>
        <w:t xml:space="preserve"> göste</w:t>
      </w:r>
      <w:bookmarkStart w:id="0" w:name="_GoBack"/>
      <w:bookmarkEnd w:id="0"/>
      <w:r w:rsidRPr="003E5E29">
        <w:rPr>
          <w:rFonts w:ascii="Times New Roman" w:hAnsi="Times New Roman" w:cs="Times New Roman"/>
          <w:color w:val="010000"/>
          <w:szCs w:val="26"/>
        </w:rPr>
        <w:t>rilen 50.986.334.733.- lira geliri ile 50.600.513.306.- lira giderinin ve 385.821.427.-lira nakit devrinin eldeki bilgi ve belgelere göre doğru, denk ve 2820 sayılı Siyasî Partiler Kanunu'na uygun olduğuna, 27.2.2007 gününde OYBİRLİĞİYLE karar verildi.</w:t>
      </w:r>
    </w:p>
    <w:p w:rsidR="003E5E29" w:rsidRPr="003E5E29" w:rsidRDefault="003E5E29" w:rsidP="003E5E29">
      <w:pPr>
        <w:spacing w:after="200"/>
        <w:ind w:left="283" w:right="283" w:firstLine="709"/>
        <w:jc w:val="both"/>
        <w:rPr>
          <w:rFonts w:ascii="Times New Roman" w:hAnsi="Times New Roman" w:cs="Times New Roman"/>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E5E29" w:rsidRPr="003E5E29" w:rsidTr="003E5E29">
        <w:trPr>
          <w:jc w:val="center"/>
        </w:trPr>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Başkan</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Tülay TUĞCU</w:t>
            </w:r>
          </w:p>
        </w:tc>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Başkanvekili</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Haşim KILIÇ</w:t>
            </w:r>
          </w:p>
        </w:tc>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proofErr w:type="spellStart"/>
            <w:r w:rsidRPr="003E5E29">
              <w:rPr>
                <w:rFonts w:ascii="Times New Roman" w:hAnsi="Times New Roman" w:cs="Times New Roman"/>
                <w:color w:val="010000"/>
                <w:szCs w:val="26"/>
              </w:rPr>
              <w:t>Sacit</w:t>
            </w:r>
            <w:proofErr w:type="spellEnd"/>
            <w:r w:rsidRPr="003E5E29">
              <w:rPr>
                <w:rFonts w:ascii="Times New Roman" w:hAnsi="Times New Roman" w:cs="Times New Roman"/>
                <w:color w:val="010000"/>
                <w:szCs w:val="26"/>
              </w:rPr>
              <w:t xml:space="preserve"> ADALI</w:t>
            </w:r>
          </w:p>
        </w:tc>
      </w:tr>
    </w:tbl>
    <w:p w:rsidR="003E5E29" w:rsidRPr="003E5E29" w:rsidRDefault="003E5E29" w:rsidP="003E5E29">
      <w:pPr>
        <w:spacing w:after="200"/>
        <w:ind w:left="283" w:right="283" w:firstLine="709"/>
        <w:jc w:val="both"/>
        <w:rPr>
          <w:rFonts w:ascii="Times New Roman" w:hAnsi="Times New Roman" w:cs="Times New Roman"/>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E5E29" w:rsidRPr="003E5E29" w:rsidTr="003E5E29">
        <w:trPr>
          <w:jc w:val="center"/>
        </w:trPr>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Fulya KANTARCIOĞLU</w:t>
            </w:r>
          </w:p>
        </w:tc>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Ahmet AKYALÇIN</w:t>
            </w:r>
          </w:p>
        </w:tc>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Mehmet ERTEN</w:t>
            </w:r>
          </w:p>
        </w:tc>
      </w:tr>
    </w:tbl>
    <w:p w:rsidR="003E5E29" w:rsidRPr="003E5E29" w:rsidRDefault="003E5E29" w:rsidP="003E5E29">
      <w:pPr>
        <w:spacing w:after="200"/>
        <w:ind w:left="283" w:right="283" w:firstLine="709"/>
        <w:jc w:val="both"/>
        <w:rPr>
          <w:rFonts w:ascii="Times New Roman" w:hAnsi="Times New Roman" w:cs="Times New Roman"/>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E5E29" w:rsidRPr="003E5E29" w:rsidTr="003E5E29">
        <w:trPr>
          <w:jc w:val="center"/>
        </w:trPr>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Mustafa YILDIRIM</w:t>
            </w:r>
          </w:p>
        </w:tc>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A. Necmi ÖZLER</w:t>
            </w:r>
          </w:p>
        </w:tc>
        <w:tc>
          <w:tcPr>
            <w:tcW w:w="1667"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Şevket APALAK</w:t>
            </w:r>
          </w:p>
        </w:tc>
      </w:tr>
    </w:tbl>
    <w:p w:rsidR="003E5E29" w:rsidRPr="003E5E29" w:rsidRDefault="003E5E29" w:rsidP="003E5E29">
      <w:pPr>
        <w:spacing w:after="200"/>
        <w:ind w:left="283" w:right="283" w:firstLine="709"/>
        <w:jc w:val="both"/>
        <w:rPr>
          <w:rFonts w:ascii="Times New Roman" w:hAnsi="Times New Roman" w:cs="Times New Roman"/>
          <w:color w:val="010000"/>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3E5E29" w:rsidRPr="003E5E29" w:rsidTr="003E5E29">
        <w:trPr>
          <w:jc w:val="center"/>
        </w:trPr>
        <w:tc>
          <w:tcPr>
            <w:tcW w:w="2500"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proofErr w:type="spellStart"/>
            <w:r w:rsidRPr="003E5E29">
              <w:rPr>
                <w:rFonts w:ascii="Times New Roman" w:hAnsi="Times New Roman" w:cs="Times New Roman"/>
                <w:color w:val="010000"/>
                <w:szCs w:val="26"/>
              </w:rPr>
              <w:t>Serruh</w:t>
            </w:r>
            <w:proofErr w:type="spellEnd"/>
            <w:r w:rsidRPr="003E5E29">
              <w:rPr>
                <w:rFonts w:ascii="Times New Roman" w:hAnsi="Times New Roman" w:cs="Times New Roman"/>
                <w:color w:val="010000"/>
                <w:szCs w:val="26"/>
              </w:rPr>
              <w:t xml:space="preserve"> KALELİ</w:t>
            </w:r>
          </w:p>
        </w:tc>
        <w:tc>
          <w:tcPr>
            <w:tcW w:w="2500" w:type="pct"/>
            <w:tcMar>
              <w:top w:w="0" w:type="dxa"/>
              <w:left w:w="70" w:type="dxa"/>
              <w:bottom w:w="0" w:type="dxa"/>
              <w:right w:w="70" w:type="dxa"/>
            </w:tcMar>
            <w:hideMark/>
          </w:tcPr>
          <w:p w:rsidR="003E5E29" w:rsidRPr="003E5E29" w:rsidRDefault="003E5E29" w:rsidP="003E5E29">
            <w:pPr>
              <w:spacing w:after="120"/>
              <w:jc w:val="center"/>
              <w:rPr>
                <w:rFonts w:ascii="Times New Roman" w:hAnsi="Times New Roman" w:cs="Times New Roman"/>
                <w:color w:val="010000"/>
              </w:rPr>
            </w:pPr>
            <w:r w:rsidRPr="003E5E29">
              <w:rPr>
                <w:rFonts w:ascii="Times New Roman" w:hAnsi="Times New Roman" w:cs="Times New Roman"/>
                <w:color w:val="010000"/>
                <w:szCs w:val="26"/>
              </w:rPr>
              <w:t>Üye</w:t>
            </w:r>
          </w:p>
          <w:p w:rsidR="003E5E29" w:rsidRPr="003E5E29" w:rsidRDefault="003E5E29" w:rsidP="003E5E29">
            <w:pPr>
              <w:overflowPunct w:val="0"/>
              <w:autoSpaceDE w:val="0"/>
              <w:autoSpaceDN w:val="0"/>
              <w:spacing w:after="120"/>
              <w:jc w:val="center"/>
              <w:rPr>
                <w:rFonts w:ascii="Times New Roman" w:hAnsi="Times New Roman" w:cs="Times New Roman"/>
                <w:color w:val="010000"/>
              </w:rPr>
            </w:pPr>
            <w:r w:rsidRPr="003E5E29">
              <w:rPr>
                <w:rFonts w:ascii="Times New Roman" w:hAnsi="Times New Roman" w:cs="Times New Roman"/>
                <w:color w:val="010000"/>
                <w:szCs w:val="26"/>
              </w:rPr>
              <w:t xml:space="preserve">Osman </w:t>
            </w:r>
            <w:proofErr w:type="spellStart"/>
            <w:r w:rsidRPr="003E5E29">
              <w:rPr>
                <w:rFonts w:ascii="Times New Roman" w:hAnsi="Times New Roman" w:cs="Times New Roman"/>
                <w:color w:val="010000"/>
                <w:szCs w:val="26"/>
              </w:rPr>
              <w:t>Alifeyyaz</w:t>
            </w:r>
            <w:proofErr w:type="spellEnd"/>
            <w:r w:rsidRPr="003E5E29">
              <w:rPr>
                <w:rFonts w:ascii="Times New Roman" w:hAnsi="Times New Roman" w:cs="Times New Roman"/>
                <w:color w:val="010000"/>
                <w:szCs w:val="26"/>
              </w:rPr>
              <w:t xml:space="preserve"> PAKSÜT</w:t>
            </w:r>
          </w:p>
        </w:tc>
      </w:tr>
    </w:tbl>
    <w:p w:rsidR="003E5E29" w:rsidRPr="003E5E29" w:rsidRDefault="003E5E29" w:rsidP="003E5E29">
      <w:pPr>
        <w:spacing w:after="200"/>
        <w:ind w:left="283" w:right="283" w:firstLine="709"/>
        <w:jc w:val="both"/>
        <w:rPr>
          <w:rFonts w:ascii="Times New Roman" w:hAnsi="Times New Roman" w:cs="Times New Roman"/>
          <w:color w:val="010000"/>
        </w:rPr>
      </w:pPr>
    </w:p>
    <w:sectPr w:rsidR="003E5E29" w:rsidRPr="003E5E29" w:rsidSect="003E5E29">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206" w:rsidRDefault="00A04206" w:rsidP="003E5E29">
      <w:r>
        <w:separator/>
      </w:r>
    </w:p>
  </w:endnote>
  <w:endnote w:type="continuationSeparator" w:id="0">
    <w:p w:rsidR="00A04206" w:rsidRDefault="00A04206" w:rsidP="003E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29" w:rsidRDefault="003E5E29"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E5E29" w:rsidRDefault="003E5E29" w:rsidP="003E5E2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29" w:rsidRPr="003E5E29" w:rsidRDefault="003E5E29" w:rsidP="005625B0">
    <w:pPr>
      <w:pStyle w:val="AltBilgi"/>
      <w:framePr w:wrap="around" w:vAnchor="text" w:hAnchor="margin" w:xAlign="right" w:y="1"/>
      <w:rPr>
        <w:rStyle w:val="SayfaNumaras"/>
        <w:rFonts w:ascii="Times New Roman" w:hAnsi="Times New Roman" w:cs="Times New Roman"/>
      </w:rPr>
    </w:pPr>
    <w:r w:rsidRPr="003E5E29">
      <w:rPr>
        <w:rStyle w:val="SayfaNumaras"/>
        <w:rFonts w:ascii="Times New Roman" w:hAnsi="Times New Roman" w:cs="Times New Roman"/>
      </w:rPr>
      <w:fldChar w:fldCharType="begin"/>
    </w:r>
    <w:r w:rsidRPr="003E5E29">
      <w:rPr>
        <w:rStyle w:val="SayfaNumaras"/>
        <w:rFonts w:ascii="Times New Roman" w:hAnsi="Times New Roman" w:cs="Times New Roman"/>
      </w:rPr>
      <w:instrText xml:space="preserve"> PAGE </w:instrText>
    </w:r>
    <w:r w:rsidRPr="003E5E29">
      <w:rPr>
        <w:rStyle w:val="SayfaNumaras"/>
        <w:rFonts w:ascii="Times New Roman" w:hAnsi="Times New Roman" w:cs="Times New Roman"/>
      </w:rPr>
      <w:fldChar w:fldCharType="separate"/>
    </w:r>
    <w:r w:rsidRPr="003E5E29">
      <w:rPr>
        <w:rStyle w:val="SayfaNumaras"/>
        <w:rFonts w:ascii="Times New Roman" w:hAnsi="Times New Roman" w:cs="Times New Roman"/>
        <w:noProof/>
      </w:rPr>
      <w:t>1</w:t>
    </w:r>
    <w:r w:rsidRPr="003E5E29">
      <w:rPr>
        <w:rStyle w:val="SayfaNumaras"/>
        <w:rFonts w:ascii="Times New Roman" w:hAnsi="Times New Roman" w:cs="Times New Roman"/>
      </w:rPr>
      <w:fldChar w:fldCharType="end"/>
    </w:r>
  </w:p>
  <w:p w:rsidR="003E5E29" w:rsidRDefault="003E5E29" w:rsidP="003E5E2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206" w:rsidRDefault="00A04206" w:rsidP="003E5E29">
      <w:r>
        <w:separator/>
      </w:r>
    </w:p>
  </w:footnote>
  <w:footnote w:type="continuationSeparator" w:id="0">
    <w:p w:rsidR="00A04206" w:rsidRDefault="00A04206" w:rsidP="003E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29" w:rsidRPr="003E5E29" w:rsidRDefault="003E5E29" w:rsidP="003E5E29">
    <w:pPr>
      <w:pStyle w:val="stBilgi"/>
      <w:rPr>
        <w:rFonts w:ascii="Times New Roman" w:hAnsi="Times New Roman" w:cs="Times New Roman"/>
        <w:b/>
      </w:rPr>
    </w:pPr>
    <w:r w:rsidRPr="003E5E29">
      <w:rPr>
        <w:rFonts w:ascii="Times New Roman" w:hAnsi="Times New Roman" w:cs="Times New Roman"/>
        <w:b/>
      </w:rPr>
      <w:t>Esas Sayısı:2000/15 (Siyasî Parti Malî Denetimi)</w:t>
    </w:r>
  </w:p>
  <w:p w:rsidR="003E5E29" w:rsidRDefault="003E5E29" w:rsidP="003E5E29">
    <w:pPr>
      <w:pStyle w:val="stBilgi"/>
      <w:rPr>
        <w:rFonts w:ascii="Times New Roman" w:hAnsi="Times New Roman" w:cs="Times New Roman"/>
        <w:b/>
      </w:rPr>
    </w:pPr>
    <w:r>
      <w:rPr>
        <w:rFonts w:ascii="Times New Roman" w:hAnsi="Times New Roman" w:cs="Times New Roman"/>
        <w:b/>
      </w:rPr>
      <w:t>Karar Sayısı:2007/1</w:t>
    </w:r>
  </w:p>
  <w:p w:rsidR="003E5E29" w:rsidRPr="003E5E29" w:rsidRDefault="003E5E29" w:rsidP="003E5E29">
    <w:pPr>
      <w:pStyle w:val="stBilgi"/>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29"/>
    <w:rsid w:val="00041752"/>
    <w:rsid w:val="00065B42"/>
    <w:rsid w:val="000E45EB"/>
    <w:rsid w:val="000F1EDB"/>
    <w:rsid w:val="00124B66"/>
    <w:rsid w:val="00286DD9"/>
    <w:rsid w:val="00347E8D"/>
    <w:rsid w:val="003E5E29"/>
    <w:rsid w:val="00503F1E"/>
    <w:rsid w:val="00821D56"/>
    <w:rsid w:val="008D57F7"/>
    <w:rsid w:val="00A04206"/>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75570-5E3E-4ADC-9A8D-3AF3C630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E29"/>
    <w:pPr>
      <w:spacing w:line="240" w:lineRule="auto"/>
    </w:pPr>
    <w:rPr>
      <w:rFonts w:eastAsiaTheme="minorEastAsia"/>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eastAsia="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eastAsia="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eastAsia="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eastAsia="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eastAsia="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eastAsia="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eastAsia="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eastAsia="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eastAsia="Arial"/>
      <w:sz w:val="22"/>
      <w:szCs w:val="22"/>
      <w:lang w:eastAsia="en-US"/>
    </w:rPr>
  </w:style>
  <w:style w:type="paragraph" w:styleId="GvdeMetni">
    <w:name w:val="Body Text"/>
    <w:basedOn w:val="Normal"/>
    <w:link w:val="GvdeMetniChar"/>
    <w:uiPriority w:val="99"/>
    <w:semiHidden/>
    <w:unhideWhenUsed/>
    <w:rsid w:val="003E5E29"/>
    <w:pPr>
      <w:jc w:val="both"/>
    </w:pPr>
    <w:rPr>
      <w:rFonts w:ascii="Times New Roman" w:hAnsi="Times New Roman" w:cs="Times New Roman"/>
      <w:sz w:val="26"/>
      <w:szCs w:val="26"/>
    </w:rPr>
  </w:style>
  <w:style w:type="character" w:customStyle="1" w:styleId="GvdeMetniChar">
    <w:name w:val="Gövde Metni Char"/>
    <w:basedOn w:val="VarsaylanParagrafYazTipi"/>
    <w:link w:val="GvdeMetni"/>
    <w:uiPriority w:val="99"/>
    <w:semiHidden/>
    <w:rsid w:val="003E5E29"/>
    <w:rPr>
      <w:rFonts w:ascii="Times New Roman" w:eastAsiaTheme="minorEastAsia" w:hAnsi="Times New Roman" w:cs="Times New Roman"/>
      <w:sz w:val="26"/>
      <w:szCs w:val="26"/>
      <w:lang w:eastAsia="tr-TR"/>
    </w:rPr>
  </w:style>
  <w:style w:type="paragraph" w:styleId="stBilgi">
    <w:name w:val="header"/>
    <w:basedOn w:val="Normal"/>
    <w:link w:val="stBilgiChar"/>
    <w:uiPriority w:val="99"/>
    <w:unhideWhenUsed/>
    <w:rsid w:val="003E5E29"/>
    <w:pPr>
      <w:tabs>
        <w:tab w:val="center" w:pos="4536"/>
        <w:tab w:val="right" w:pos="9072"/>
      </w:tabs>
    </w:pPr>
  </w:style>
  <w:style w:type="character" w:customStyle="1" w:styleId="stBilgiChar">
    <w:name w:val="Üst Bilgi Char"/>
    <w:basedOn w:val="VarsaylanParagrafYazTipi"/>
    <w:link w:val="stBilgi"/>
    <w:uiPriority w:val="99"/>
    <w:rsid w:val="003E5E29"/>
    <w:rPr>
      <w:rFonts w:eastAsiaTheme="minorEastAsia"/>
      <w:sz w:val="24"/>
      <w:szCs w:val="24"/>
      <w:lang w:eastAsia="tr-TR"/>
    </w:rPr>
  </w:style>
  <w:style w:type="paragraph" w:styleId="AltBilgi">
    <w:name w:val="footer"/>
    <w:basedOn w:val="Normal"/>
    <w:link w:val="AltBilgiChar"/>
    <w:uiPriority w:val="99"/>
    <w:unhideWhenUsed/>
    <w:rsid w:val="003E5E29"/>
    <w:pPr>
      <w:tabs>
        <w:tab w:val="center" w:pos="4536"/>
        <w:tab w:val="right" w:pos="9072"/>
      </w:tabs>
    </w:pPr>
  </w:style>
  <w:style w:type="character" w:customStyle="1" w:styleId="AltBilgiChar">
    <w:name w:val="Alt Bilgi Char"/>
    <w:basedOn w:val="VarsaylanParagrafYazTipi"/>
    <w:link w:val="AltBilgi"/>
    <w:uiPriority w:val="99"/>
    <w:rsid w:val="003E5E29"/>
    <w:rPr>
      <w:rFonts w:eastAsiaTheme="minorEastAsia"/>
      <w:sz w:val="24"/>
      <w:szCs w:val="24"/>
      <w:lang w:eastAsia="tr-TR"/>
    </w:rPr>
  </w:style>
  <w:style w:type="character" w:styleId="SayfaNumaras">
    <w:name w:val="page number"/>
    <w:basedOn w:val="VarsaylanParagrafYazTipi"/>
    <w:uiPriority w:val="99"/>
    <w:semiHidden/>
    <w:unhideWhenUsed/>
    <w:rsid w:val="003E5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2020-06-15T06:56:00Z</dcterms:created>
  <dcterms:modified xsi:type="dcterms:W3CDTF">2020-06-15T06:56:00Z</dcterms:modified>
</cp:coreProperties>
</file>