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EF5" w:rsidRDefault="00CC1EF5" w:rsidP="00CC1EF5">
      <w:pPr>
        <w:spacing w:after="200"/>
        <w:ind w:left="283" w:right="283"/>
        <w:jc w:val="center"/>
        <w:rPr>
          <w:b/>
          <w:bCs/>
          <w:caps/>
          <w:color w:val="010000"/>
          <w:sz w:val="24"/>
          <w:szCs w:val="26"/>
        </w:rPr>
      </w:pPr>
      <w:r w:rsidRPr="00CC1EF5">
        <w:rPr>
          <w:b/>
          <w:bCs/>
          <w:caps/>
          <w:color w:val="010000"/>
          <w:sz w:val="24"/>
          <w:szCs w:val="26"/>
        </w:rPr>
        <w:t>ANAYASA MAHKEMESİ KARARI</w:t>
      </w:r>
      <w:r w:rsidRPr="00CC1EF5">
        <w:rPr>
          <w:b/>
          <w:bCs/>
          <w:caps/>
          <w:color w:val="010000"/>
          <w:sz w:val="24"/>
          <w:szCs w:val="26"/>
        </w:rPr>
        <w:t xml:space="preserve"> </w:t>
      </w:r>
    </w:p>
    <w:p w:rsidR="00CC1EF5" w:rsidRPr="00CC1EF5" w:rsidRDefault="00CC1EF5" w:rsidP="00CC1EF5">
      <w:pPr>
        <w:spacing w:after="200"/>
        <w:ind w:left="283" w:right="283" w:firstLine="709"/>
        <w:jc w:val="center"/>
        <w:rPr>
          <w:b/>
          <w:caps/>
          <w:color w:val="010000"/>
          <w:sz w:val="24"/>
        </w:rPr>
      </w:pPr>
    </w:p>
    <w:p w:rsidR="00CC1EF5" w:rsidRDefault="00CC1EF5" w:rsidP="00CC1EF5">
      <w:pPr>
        <w:rPr>
          <w:b/>
          <w:bCs/>
          <w:color w:val="010000"/>
          <w:sz w:val="24"/>
          <w:szCs w:val="26"/>
        </w:rPr>
      </w:pPr>
      <w:r>
        <w:rPr>
          <w:b/>
          <w:bCs/>
          <w:color w:val="010000"/>
          <w:sz w:val="24"/>
          <w:szCs w:val="26"/>
        </w:rPr>
        <w:t>Esas Sayısı:2002/8 (Siyasî Parti Malî Denetimi)</w:t>
      </w:r>
    </w:p>
    <w:p w:rsidR="00CC1EF5" w:rsidRDefault="00CC1EF5" w:rsidP="00CC1EF5">
      <w:pPr>
        <w:rPr>
          <w:b/>
          <w:color w:val="010000"/>
          <w:sz w:val="24"/>
        </w:rPr>
      </w:pPr>
      <w:r>
        <w:rPr>
          <w:b/>
          <w:color w:val="010000"/>
          <w:sz w:val="24"/>
        </w:rPr>
        <w:t>Karar Sayısı:2006/50</w:t>
      </w:r>
    </w:p>
    <w:p w:rsidR="00CC1EF5" w:rsidRDefault="00CC1EF5" w:rsidP="00CC1EF5">
      <w:pPr>
        <w:rPr>
          <w:b/>
          <w:color w:val="010000"/>
          <w:sz w:val="24"/>
        </w:rPr>
      </w:pPr>
      <w:r>
        <w:rPr>
          <w:b/>
          <w:color w:val="010000"/>
          <w:sz w:val="24"/>
        </w:rPr>
        <w:t>Karar Günü:9.6.2006</w:t>
      </w:r>
    </w:p>
    <w:p w:rsidR="00CC1EF5" w:rsidRDefault="00CC1EF5" w:rsidP="00CC1EF5">
      <w:pPr>
        <w:rPr>
          <w:b/>
          <w:color w:val="010000"/>
          <w:sz w:val="24"/>
        </w:rPr>
      </w:pPr>
      <w:r>
        <w:rPr>
          <w:b/>
          <w:color w:val="010000"/>
          <w:sz w:val="24"/>
        </w:rPr>
        <w:t>R.G. Tarih-Sayı:04.10.2006-26309</w:t>
      </w:r>
    </w:p>
    <w:p w:rsidR="00CC1EF5" w:rsidRPr="00CC1EF5" w:rsidRDefault="00CC1EF5" w:rsidP="00CC1EF5">
      <w:pPr>
        <w:rPr>
          <w:b/>
          <w:color w:val="010000"/>
          <w:sz w:val="24"/>
        </w:rPr>
      </w:pPr>
    </w:p>
    <w:p w:rsidR="00CC1EF5" w:rsidRPr="00CC1EF5" w:rsidRDefault="00CC1EF5" w:rsidP="00CC1EF5">
      <w:pPr>
        <w:pStyle w:val="Balk2"/>
        <w:keepNext w:val="0"/>
        <w:keepLines w:val="0"/>
        <w:spacing w:before="0" w:after="200" w:line="240" w:lineRule="auto"/>
        <w:ind w:left="283" w:right="283" w:firstLine="709"/>
        <w:jc w:val="both"/>
        <w:rPr>
          <w:rFonts w:ascii="Times New Roman" w:eastAsia="Times New Roman" w:hAnsi="Times New Roman" w:cs="Times New Roman"/>
          <w:b/>
          <w:color w:val="010000"/>
          <w:sz w:val="24"/>
        </w:rPr>
      </w:pPr>
      <w:r w:rsidRPr="00CC1EF5">
        <w:rPr>
          <w:rFonts w:ascii="Times New Roman" w:eastAsia="Times New Roman" w:hAnsi="Times New Roman" w:cs="Times New Roman"/>
          <w:b/>
          <w:color w:val="010000"/>
          <w:sz w:val="24"/>
          <w:szCs w:val="26"/>
        </w:rPr>
        <w:t xml:space="preserve">I- MALİ DENETİMİN KONUSU </w:t>
      </w:r>
    </w:p>
    <w:p w:rsidR="00CC1EF5" w:rsidRPr="00CC1EF5" w:rsidRDefault="00CC1EF5" w:rsidP="00CC1EF5">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CC1EF5">
        <w:rPr>
          <w:rFonts w:ascii="Times New Roman" w:eastAsia="Times New Roman" w:hAnsi="Times New Roman" w:cs="Times New Roman"/>
          <w:b/>
          <w:bCs/>
          <w:color w:val="010000"/>
          <w:sz w:val="24"/>
          <w:szCs w:val="26"/>
        </w:rPr>
        <w:t>İşçi Partisi'nin</w:t>
      </w:r>
      <w:r w:rsidRPr="00CC1EF5">
        <w:rPr>
          <w:rFonts w:ascii="Times New Roman" w:eastAsia="Times New Roman" w:hAnsi="Times New Roman" w:cs="Times New Roman"/>
          <w:b/>
          <w:bCs/>
          <w:color w:val="010000"/>
          <w:sz w:val="24"/>
          <w:szCs w:val="26"/>
        </w:rPr>
        <w:t xml:space="preserve"> </w:t>
      </w:r>
      <w:r w:rsidRPr="00CC1EF5">
        <w:rPr>
          <w:rFonts w:ascii="Times New Roman" w:eastAsia="Times New Roman" w:hAnsi="Times New Roman" w:cs="Times New Roman"/>
          <w:b/>
          <w:bCs/>
          <w:color w:val="010000"/>
          <w:sz w:val="24"/>
          <w:szCs w:val="26"/>
        </w:rPr>
        <w:t xml:space="preserve">2001 yılı </w:t>
      </w:r>
      <w:proofErr w:type="spellStart"/>
      <w:r w:rsidRPr="00CC1EF5">
        <w:rPr>
          <w:rFonts w:ascii="Times New Roman" w:eastAsia="Times New Roman" w:hAnsi="Times New Roman" w:cs="Times New Roman"/>
          <w:b/>
          <w:bCs/>
          <w:color w:val="010000"/>
          <w:sz w:val="24"/>
          <w:szCs w:val="26"/>
        </w:rPr>
        <w:t>kesinhesabının</w:t>
      </w:r>
      <w:proofErr w:type="spellEnd"/>
      <w:r w:rsidRPr="00CC1EF5">
        <w:rPr>
          <w:rFonts w:ascii="Times New Roman" w:eastAsia="Times New Roman" w:hAnsi="Times New Roman" w:cs="Times New Roman"/>
          <w:b/>
          <w:bCs/>
          <w:color w:val="010000"/>
          <w:sz w:val="24"/>
          <w:szCs w:val="26"/>
        </w:rPr>
        <w:t xml:space="preserve"> incelenmesidir.</w:t>
      </w:r>
    </w:p>
    <w:p w:rsidR="00CC1EF5" w:rsidRPr="00CC1EF5" w:rsidRDefault="00CC1EF5" w:rsidP="00CC1EF5">
      <w:pPr>
        <w:spacing w:after="200"/>
        <w:ind w:left="283" w:right="283" w:firstLine="709"/>
        <w:jc w:val="both"/>
        <w:rPr>
          <w:color w:val="010000"/>
          <w:sz w:val="24"/>
        </w:rPr>
      </w:pPr>
      <w:r w:rsidRPr="00CC1EF5">
        <w:rPr>
          <w:b/>
          <w:bCs/>
          <w:color w:val="010000"/>
          <w:sz w:val="24"/>
          <w:szCs w:val="26"/>
        </w:rPr>
        <w:t>II- İLK İNCELEME</w:t>
      </w:r>
    </w:p>
    <w:p w:rsidR="00CC1EF5" w:rsidRPr="00CC1EF5" w:rsidRDefault="00CC1EF5" w:rsidP="00CC1EF5">
      <w:pPr>
        <w:pStyle w:val="msobodytextindent"/>
        <w:spacing w:after="200" w:line="240" w:lineRule="auto"/>
        <w:ind w:left="283" w:right="283" w:firstLine="709"/>
        <w:rPr>
          <w:rFonts w:ascii="Times New Roman" w:hAnsi="Times New Roman" w:cs="Times New Roman"/>
          <w:color w:val="010000"/>
        </w:rPr>
      </w:pPr>
      <w:r w:rsidRPr="00CC1EF5">
        <w:rPr>
          <w:rFonts w:ascii="Times New Roman" w:hAnsi="Times New Roman" w:cs="Times New Roman"/>
          <w:color w:val="010000"/>
          <w:szCs w:val="26"/>
        </w:rPr>
        <w:t xml:space="preserve">Anayasa Mahkemesi İçtüzüğü'nün 16. Maddesi uyarınca, Mustafa BUMİN, Haşim KILIÇ, Yalçın ACARGÜN, </w:t>
      </w:r>
      <w:proofErr w:type="spellStart"/>
      <w:r w:rsidRPr="00CC1EF5">
        <w:rPr>
          <w:rFonts w:ascii="Times New Roman" w:hAnsi="Times New Roman" w:cs="Times New Roman"/>
          <w:color w:val="010000"/>
          <w:szCs w:val="26"/>
        </w:rPr>
        <w:t>Sacit</w:t>
      </w:r>
      <w:proofErr w:type="spellEnd"/>
      <w:r w:rsidRPr="00CC1EF5">
        <w:rPr>
          <w:rFonts w:ascii="Times New Roman" w:hAnsi="Times New Roman" w:cs="Times New Roman"/>
          <w:color w:val="010000"/>
          <w:szCs w:val="26"/>
        </w:rPr>
        <w:t xml:space="preserve"> ADALI, Ali HÜNER, Fulya KANTARCIOĞLU, Ertuğrul ERSOY, Tülay TUĞCU, Ahmet AKYALÇIN, Enis TUNGA ve Mehmet </w:t>
      </w:r>
      <w:proofErr w:type="spellStart"/>
      <w:r w:rsidRPr="00CC1EF5">
        <w:rPr>
          <w:rFonts w:ascii="Times New Roman" w:hAnsi="Times New Roman" w:cs="Times New Roman"/>
          <w:color w:val="010000"/>
          <w:szCs w:val="26"/>
        </w:rPr>
        <w:t>ERTEN'in</w:t>
      </w:r>
      <w:proofErr w:type="spellEnd"/>
      <w:r w:rsidRPr="00CC1EF5">
        <w:rPr>
          <w:rFonts w:ascii="Times New Roman" w:hAnsi="Times New Roman" w:cs="Times New Roman"/>
          <w:color w:val="010000"/>
          <w:szCs w:val="26"/>
        </w:rPr>
        <w:t xml:space="preserve"> katılmalarıyla 16.4.2003 gününde yapılan ilk inceleme toplantısında;</w:t>
      </w:r>
    </w:p>
    <w:p w:rsidR="00CC1EF5" w:rsidRPr="00CC1EF5" w:rsidRDefault="00CC1EF5" w:rsidP="00CC1EF5">
      <w:pPr>
        <w:pStyle w:val="GvdeMetni2"/>
        <w:spacing w:after="200" w:line="240" w:lineRule="auto"/>
        <w:ind w:left="283" w:right="283" w:firstLine="709"/>
        <w:rPr>
          <w:rFonts w:ascii="Times New Roman" w:hAnsi="Times New Roman" w:cs="Times New Roman"/>
          <w:color w:val="010000"/>
        </w:rPr>
      </w:pPr>
      <w:r w:rsidRPr="00CC1EF5">
        <w:rPr>
          <w:rFonts w:ascii="Times New Roman" w:hAnsi="Times New Roman" w:cs="Times New Roman"/>
          <w:color w:val="010000"/>
          <w:szCs w:val="26"/>
        </w:rPr>
        <w:t xml:space="preserve">İşçi Partisi'nin 2001 yılı </w:t>
      </w:r>
      <w:proofErr w:type="spellStart"/>
      <w:r w:rsidRPr="00CC1EF5">
        <w:rPr>
          <w:rFonts w:ascii="Times New Roman" w:hAnsi="Times New Roman" w:cs="Times New Roman"/>
          <w:color w:val="010000"/>
          <w:szCs w:val="26"/>
        </w:rPr>
        <w:t>kesinhesabının</w:t>
      </w:r>
      <w:proofErr w:type="spellEnd"/>
      <w:r w:rsidRPr="00CC1EF5">
        <w:rPr>
          <w:rFonts w:ascii="Times New Roman" w:hAnsi="Times New Roman" w:cs="Times New Roman"/>
          <w:color w:val="010000"/>
          <w:szCs w:val="26"/>
        </w:rPr>
        <w:t xml:space="preserve"> incelenmesi sonucunda; 'Dosyada eksiklik bulunmadığından işin esasının incelenmesine, oybirliğiyle' karar verilmiştir. </w:t>
      </w:r>
    </w:p>
    <w:p w:rsidR="00CC1EF5" w:rsidRPr="00CC1EF5" w:rsidRDefault="00CC1EF5" w:rsidP="00CC1EF5">
      <w:pPr>
        <w:spacing w:after="200"/>
        <w:ind w:left="283" w:right="283" w:firstLine="709"/>
        <w:jc w:val="both"/>
        <w:rPr>
          <w:color w:val="010000"/>
          <w:sz w:val="24"/>
        </w:rPr>
      </w:pPr>
      <w:r w:rsidRPr="00CC1EF5">
        <w:rPr>
          <w:b/>
          <w:bCs/>
          <w:color w:val="010000"/>
          <w:sz w:val="24"/>
          <w:szCs w:val="26"/>
        </w:rPr>
        <w:t>III- ESASIN İNCELENMESİ</w:t>
      </w:r>
    </w:p>
    <w:p w:rsidR="00CC1EF5" w:rsidRPr="00CC1EF5" w:rsidRDefault="00CC1EF5" w:rsidP="00CC1EF5">
      <w:pPr>
        <w:spacing w:after="200"/>
        <w:ind w:left="283" w:right="283" w:firstLine="709"/>
        <w:jc w:val="both"/>
        <w:rPr>
          <w:color w:val="010000"/>
          <w:sz w:val="24"/>
        </w:rPr>
      </w:pPr>
      <w:r w:rsidRPr="00CC1EF5">
        <w:rPr>
          <w:color w:val="010000"/>
          <w:sz w:val="24"/>
          <w:szCs w:val="26"/>
        </w:rPr>
        <w:t xml:space="preserve">Parti'nin Anayasa Mahkemesi'ne verdiği 2001 yılı </w:t>
      </w:r>
      <w:proofErr w:type="spellStart"/>
      <w:r w:rsidRPr="00CC1EF5">
        <w:rPr>
          <w:color w:val="010000"/>
          <w:sz w:val="24"/>
          <w:szCs w:val="26"/>
        </w:rPr>
        <w:t>kesinhesap</w:t>
      </w:r>
      <w:proofErr w:type="spellEnd"/>
      <w:r w:rsidRPr="00CC1EF5">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CC1EF5" w:rsidRPr="00CC1EF5" w:rsidRDefault="00CC1EF5" w:rsidP="00CC1EF5">
      <w:pPr>
        <w:spacing w:after="200"/>
        <w:ind w:left="283" w:right="283" w:firstLine="709"/>
        <w:jc w:val="both"/>
        <w:rPr>
          <w:color w:val="010000"/>
          <w:sz w:val="24"/>
        </w:rPr>
      </w:pPr>
      <w:r w:rsidRPr="00CC1EF5">
        <w:rPr>
          <w:color w:val="010000"/>
          <w:sz w:val="24"/>
          <w:szCs w:val="26"/>
        </w:rPr>
        <w:t>Denetimin maddi öğelerini oluşturan defter ve belgelerde İşçi Partisi'nin Genel Merkezi ile 62 il örgütünün 2001 yılı gelirlerinin 285.649.858.641.-TL, giderlerinin 267.692.813.450.-TL, borçlarının 2.451.990.066.-TL, alacaklarının 863.387.745.-TL ve 2002 yılına nakit devrinin 19.545.647.512.-TL, gelir ve borç rakamlarının toplamı ile gider, alacak ve nakit devir rakamlarının toplamının birbirine denk olduğu görülmüştür.</w:t>
      </w:r>
    </w:p>
    <w:p w:rsidR="00CC1EF5" w:rsidRPr="00CC1EF5" w:rsidRDefault="00CC1EF5" w:rsidP="00CC1EF5">
      <w:pPr>
        <w:spacing w:after="200"/>
        <w:ind w:left="283" w:right="283" w:firstLine="709"/>
        <w:jc w:val="both"/>
        <w:rPr>
          <w:color w:val="010000"/>
          <w:sz w:val="24"/>
        </w:rPr>
      </w:pPr>
      <w:r w:rsidRPr="00CC1EF5">
        <w:rPr>
          <w:b/>
          <w:bCs/>
          <w:color w:val="010000"/>
          <w:sz w:val="24"/>
          <w:szCs w:val="26"/>
        </w:rPr>
        <w:t>A- Gelirlerin İncelenmesi</w:t>
      </w:r>
    </w:p>
    <w:p w:rsidR="00CC1EF5" w:rsidRPr="00CC1EF5" w:rsidRDefault="00CC1EF5" w:rsidP="00CC1EF5">
      <w:pPr>
        <w:spacing w:after="200"/>
        <w:ind w:left="283" w:right="283" w:firstLine="709"/>
        <w:jc w:val="both"/>
        <w:rPr>
          <w:color w:val="010000"/>
          <w:sz w:val="24"/>
        </w:rPr>
      </w:pPr>
      <w:r w:rsidRPr="00CC1EF5">
        <w:rPr>
          <w:b/>
          <w:bCs/>
          <w:color w:val="010000"/>
          <w:sz w:val="24"/>
          <w:szCs w:val="26"/>
        </w:rPr>
        <w:t>1- Genel Merkez Gelirleri</w:t>
      </w:r>
    </w:p>
    <w:p w:rsidR="00CC1EF5" w:rsidRPr="00CC1EF5" w:rsidRDefault="00CC1EF5" w:rsidP="00CC1EF5">
      <w:pPr>
        <w:spacing w:after="200"/>
        <w:ind w:left="283" w:right="283" w:firstLine="709"/>
        <w:jc w:val="both"/>
        <w:rPr>
          <w:color w:val="010000"/>
          <w:sz w:val="24"/>
        </w:rPr>
      </w:pPr>
      <w:r w:rsidRPr="00CC1EF5">
        <w:rPr>
          <w:color w:val="010000"/>
          <w:sz w:val="24"/>
          <w:szCs w:val="26"/>
        </w:rPr>
        <w:t>Parti Genel Merkezi'nin gelirleri 41.592.435.808.-TL olarak gösterilmiştir.</w:t>
      </w:r>
    </w:p>
    <w:p w:rsidR="00CC1EF5" w:rsidRPr="00CC1EF5" w:rsidRDefault="00CC1EF5" w:rsidP="00CC1EF5">
      <w:pPr>
        <w:spacing w:after="200"/>
        <w:ind w:left="283" w:right="283" w:firstLine="709"/>
        <w:jc w:val="both"/>
        <w:rPr>
          <w:color w:val="010000"/>
          <w:sz w:val="24"/>
        </w:rPr>
      </w:pPr>
      <w:r w:rsidRPr="00CC1EF5">
        <w:rPr>
          <w:color w:val="010000"/>
          <w:sz w:val="24"/>
          <w:szCs w:val="26"/>
        </w:rPr>
        <w:t>Bunun 7.035.000.000.-TL üye aidatları, 13.475.285.250.-TL bağışlar, 8.050.885.000.- TL örgüt yardımları, 1.150.000.000.-TL parti etkinlikleri, 3.915.750.000.- TL yayın, rozet, makbuz vb. parti malı ve malzeme satış, 430.000.000.-TL demirbaş satış, 5.964.325.000.-TL yargı kararlarına göre parti adına tahsil edilen tazminat ve 1.571.190.558.-TL ise önceki yıldan devirdir.</w:t>
      </w:r>
      <w:r w:rsidRPr="00CC1EF5">
        <w:rPr>
          <w:color w:val="010000"/>
          <w:sz w:val="24"/>
          <w:szCs w:val="26"/>
        </w:rPr>
        <w:t xml:space="preserve"> </w:t>
      </w:r>
    </w:p>
    <w:p w:rsidR="00CC1EF5" w:rsidRPr="00CC1EF5" w:rsidRDefault="00CC1EF5" w:rsidP="00CC1EF5">
      <w:pPr>
        <w:spacing w:after="200"/>
        <w:ind w:left="283" w:right="283" w:firstLine="709"/>
        <w:jc w:val="both"/>
        <w:rPr>
          <w:color w:val="010000"/>
          <w:sz w:val="24"/>
        </w:rPr>
      </w:pPr>
      <w:r w:rsidRPr="00CC1EF5">
        <w:rPr>
          <w:color w:val="010000"/>
          <w:sz w:val="24"/>
          <w:szCs w:val="26"/>
        </w:rPr>
        <w:t xml:space="preserve">Parti Genel Merkezi'nin 2002 yılına devreden alacakları 558.587.745.-TL olup; bunun 110.600.000.-TL yol avansları, 107.775.000.-TL mutemet avansları, 333.717.745.-TL verilen depozitolar </w:t>
      </w:r>
      <w:proofErr w:type="gramStart"/>
      <w:r w:rsidRPr="00CC1EF5">
        <w:rPr>
          <w:color w:val="010000"/>
          <w:sz w:val="24"/>
          <w:szCs w:val="26"/>
        </w:rPr>
        <w:t>( kira</w:t>
      </w:r>
      <w:proofErr w:type="gramEnd"/>
      <w:r w:rsidRPr="00CC1EF5">
        <w:rPr>
          <w:color w:val="010000"/>
          <w:sz w:val="24"/>
          <w:szCs w:val="26"/>
        </w:rPr>
        <w:t xml:space="preserve">, elektrik ve su için ödenen) ve 6.495.000.-TL da mahsup edilecek vergi stopajlarıdır. </w:t>
      </w:r>
    </w:p>
    <w:p w:rsidR="00CC1EF5" w:rsidRPr="00CC1EF5" w:rsidRDefault="00CC1EF5" w:rsidP="00CC1EF5">
      <w:pPr>
        <w:spacing w:after="200"/>
        <w:ind w:left="283" w:right="283" w:firstLine="709"/>
        <w:jc w:val="both"/>
        <w:rPr>
          <w:color w:val="010000"/>
          <w:sz w:val="24"/>
        </w:rPr>
      </w:pPr>
      <w:r w:rsidRPr="00CC1EF5">
        <w:rPr>
          <w:color w:val="010000"/>
          <w:sz w:val="24"/>
          <w:szCs w:val="26"/>
        </w:rPr>
        <w:lastRenderedPageBreak/>
        <w:t>Genel Merkezin defter kayıtları ve gelir belgeleri üzerinde yapılan incelemede, aşağıda belirtilen dışında kalan gelirlerin</w:t>
      </w:r>
      <w:r w:rsidRPr="00CC1EF5">
        <w:rPr>
          <w:color w:val="010000"/>
          <w:sz w:val="24"/>
          <w:szCs w:val="26"/>
        </w:rPr>
        <w:t xml:space="preserve"> </w:t>
      </w:r>
      <w:r w:rsidRPr="00CC1EF5">
        <w:rPr>
          <w:color w:val="010000"/>
          <w:sz w:val="24"/>
          <w:szCs w:val="26"/>
        </w:rPr>
        <w:t>2820 sayılı Yasa'nın 61-69. maddelerine uygun olarak sağlandığı sonucuna varılmıştır.</w:t>
      </w:r>
    </w:p>
    <w:p w:rsidR="00CC1EF5" w:rsidRPr="00CC1EF5" w:rsidRDefault="00CC1EF5" w:rsidP="00CC1EF5">
      <w:pPr>
        <w:pStyle w:val="msobodytextindent"/>
        <w:spacing w:after="200" w:line="240" w:lineRule="auto"/>
        <w:ind w:left="283" w:right="283" w:firstLine="709"/>
        <w:rPr>
          <w:rFonts w:ascii="Times New Roman" w:hAnsi="Times New Roman" w:cs="Times New Roman"/>
          <w:color w:val="010000"/>
        </w:rPr>
      </w:pPr>
      <w:r w:rsidRPr="00CC1EF5">
        <w:rPr>
          <w:rFonts w:ascii="Times New Roman" w:hAnsi="Times New Roman" w:cs="Times New Roman"/>
          <w:color w:val="010000"/>
          <w:szCs w:val="26"/>
        </w:rPr>
        <w:t>'Parti rozeti satış geliri' olarak 10.000.000.-TL Gelir Makbuzu düzenlenmiş olduğu halde, bu gelirin, Muhasebe Fişine 1.000.000.-TL olarak kaydedildiği görülmüştür.</w:t>
      </w:r>
      <w:r w:rsidRPr="00CC1EF5">
        <w:rPr>
          <w:rFonts w:ascii="Times New Roman" w:hAnsi="Times New Roman" w:cs="Times New Roman"/>
          <w:color w:val="010000"/>
          <w:szCs w:val="26"/>
        </w:rPr>
        <w:t xml:space="preserve"> </w:t>
      </w:r>
    </w:p>
    <w:p w:rsidR="00CC1EF5" w:rsidRPr="00CC1EF5" w:rsidRDefault="00CC1EF5" w:rsidP="00CC1EF5">
      <w:pPr>
        <w:pStyle w:val="msobodytextindent"/>
        <w:spacing w:after="200" w:line="240" w:lineRule="auto"/>
        <w:ind w:left="283" w:right="283" w:firstLine="709"/>
        <w:rPr>
          <w:rFonts w:ascii="Times New Roman" w:hAnsi="Times New Roman" w:cs="Times New Roman"/>
          <w:color w:val="010000"/>
        </w:rPr>
      </w:pPr>
    </w:p>
    <w:p w:rsidR="00CC1EF5" w:rsidRDefault="00CC1EF5"/>
    <w:tbl>
      <w:tblPr>
        <w:tblStyle w:val="TabloKlavuzu"/>
        <w:tblW w:w="5000" w:type="pct"/>
        <w:jc w:val="center"/>
        <w:tblInd w:w="0" w:type="dxa"/>
        <w:tblLook w:val="01E0" w:firstRow="1" w:lastRow="1" w:firstColumn="1" w:lastColumn="1" w:noHBand="0" w:noVBand="0"/>
      </w:tblPr>
      <w:tblGrid>
        <w:gridCol w:w="1415"/>
        <w:gridCol w:w="1192"/>
        <w:gridCol w:w="1528"/>
        <w:gridCol w:w="1415"/>
        <w:gridCol w:w="1192"/>
        <w:gridCol w:w="1528"/>
        <w:gridCol w:w="1501"/>
      </w:tblGrid>
      <w:tr w:rsidR="00CC1EF5" w:rsidRPr="00CC1EF5" w:rsidTr="00CC1EF5">
        <w:trPr>
          <w:jc w:val="center"/>
        </w:trPr>
        <w:tc>
          <w:tcPr>
            <w:tcW w:w="2116" w:type="pct"/>
            <w:gridSpan w:val="3"/>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b/>
                <w:bCs/>
                <w:color w:val="010000"/>
                <w:szCs w:val="26"/>
              </w:rPr>
              <w:t>Gelir Makbuzunun</w:t>
            </w:r>
          </w:p>
        </w:tc>
        <w:tc>
          <w:tcPr>
            <w:tcW w:w="2116" w:type="pct"/>
            <w:gridSpan w:val="3"/>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b/>
                <w:bCs/>
                <w:color w:val="010000"/>
                <w:szCs w:val="26"/>
              </w:rPr>
              <w:t>Mahsup Fişinin (Gelir kaydının)</w:t>
            </w:r>
          </w:p>
        </w:tc>
        <w:tc>
          <w:tcPr>
            <w:tcW w:w="768"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b/>
                <w:bCs/>
                <w:color w:val="010000"/>
                <w:szCs w:val="26"/>
              </w:rPr>
              <w:t>Fark</w:t>
            </w:r>
          </w:p>
        </w:tc>
      </w:tr>
      <w:tr w:rsidR="00CC1EF5" w:rsidRPr="00CC1EF5" w:rsidTr="00CC1EF5">
        <w:trPr>
          <w:jc w:val="center"/>
        </w:trPr>
        <w:tc>
          <w:tcPr>
            <w:tcW w:w="724"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b/>
                <w:bCs/>
                <w:color w:val="010000"/>
                <w:szCs w:val="26"/>
              </w:rPr>
              <w:t>Tarihi</w:t>
            </w:r>
          </w:p>
        </w:tc>
        <w:tc>
          <w:tcPr>
            <w:tcW w:w="610"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b/>
                <w:bCs/>
                <w:color w:val="010000"/>
                <w:szCs w:val="26"/>
              </w:rPr>
              <w:t>Sayısı</w:t>
            </w:r>
          </w:p>
        </w:tc>
        <w:tc>
          <w:tcPr>
            <w:tcW w:w="782"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proofErr w:type="gramStart"/>
            <w:r w:rsidRPr="00CC1EF5">
              <w:rPr>
                <w:rFonts w:ascii="Times New Roman" w:hAnsi="Times New Roman" w:cs="Times New Roman"/>
                <w:b/>
                <w:bCs/>
                <w:color w:val="010000"/>
                <w:szCs w:val="26"/>
              </w:rPr>
              <w:t>Tutarı(</w:t>
            </w:r>
            <w:proofErr w:type="gramEnd"/>
            <w:r w:rsidRPr="00CC1EF5">
              <w:rPr>
                <w:rFonts w:ascii="Times New Roman" w:hAnsi="Times New Roman" w:cs="Times New Roman"/>
                <w:b/>
                <w:bCs/>
                <w:color w:val="010000"/>
                <w:szCs w:val="26"/>
              </w:rPr>
              <w:t>TL)</w:t>
            </w:r>
          </w:p>
        </w:tc>
        <w:tc>
          <w:tcPr>
            <w:tcW w:w="724"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b/>
                <w:bCs/>
                <w:color w:val="010000"/>
                <w:szCs w:val="26"/>
              </w:rPr>
              <w:t>Tarihi</w:t>
            </w:r>
          </w:p>
        </w:tc>
        <w:tc>
          <w:tcPr>
            <w:tcW w:w="610"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b/>
                <w:bCs/>
                <w:color w:val="010000"/>
                <w:szCs w:val="26"/>
              </w:rPr>
              <w:t>Sayısı</w:t>
            </w:r>
          </w:p>
        </w:tc>
        <w:tc>
          <w:tcPr>
            <w:tcW w:w="782"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proofErr w:type="gramStart"/>
            <w:r w:rsidRPr="00CC1EF5">
              <w:rPr>
                <w:rFonts w:ascii="Times New Roman" w:hAnsi="Times New Roman" w:cs="Times New Roman"/>
                <w:b/>
                <w:bCs/>
                <w:color w:val="010000"/>
                <w:szCs w:val="26"/>
              </w:rPr>
              <w:t>Tutarı(</w:t>
            </w:r>
            <w:proofErr w:type="gramEnd"/>
            <w:r w:rsidRPr="00CC1EF5">
              <w:rPr>
                <w:rFonts w:ascii="Times New Roman" w:hAnsi="Times New Roman" w:cs="Times New Roman"/>
                <w:b/>
                <w:bCs/>
                <w:color w:val="010000"/>
                <w:szCs w:val="26"/>
              </w:rPr>
              <w:t>TL)</w:t>
            </w:r>
          </w:p>
        </w:tc>
        <w:tc>
          <w:tcPr>
            <w:tcW w:w="768"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b/>
                <w:bCs/>
                <w:color w:val="010000"/>
                <w:szCs w:val="26"/>
              </w:rPr>
              <w:t>(TL)</w:t>
            </w:r>
          </w:p>
        </w:tc>
      </w:tr>
      <w:tr w:rsidR="00CC1EF5" w:rsidRPr="00CC1EF5" w:rsidTr="00CC1EF5">
        <w:trPr>
          <w:jc w:val="center"/>
        </w:trPr>
        <w:tc>
          <w:tcPr>
            <w:tcW w:w="724"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color w:val="010000"/>
                <w:szCs w:val="26"/>
              </w:rPr>
              <w:t>4.10.2001</w:t>
            </w:r>
          </w:p>
        </w:tc>
        <w:tc>
          <w:tcPr>
            <w:tcW w:w="610"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color w:val="010000"/>
                <w:szCs w:val="26"/>
              </w:rPr>
              <w:t>05799</w:t>
            </w:r>
          </w:p>
        </w:tc>
        <w:tc>
          <w:tcPr>
            <w:tcW w:w="782"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color w:val="010000"/>
                <w:szCs w:val="26"/>
              </w:rPr>
              <w:t>10. 000.000.-</w:t>
            </w:r>
          </w:p>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p>
        </w:tc>
        <w:tc>
          <w:tcPr>
            <w:tcW w:w="724"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color w:val="010000"/>
                <w:szCs w:val="26"/>
              </w:rPr>
              <w:t>4.10.2001</w:t>
            </w:r>
          </w:p>
        </w:tc>
        <w:tc>
          <w:tcPr>
            <w:tcW w:w="610"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color w:val="010000"/>
                <w:szCs w:val="26"/>
              </w:rPr>
              <w:t>461</w:t>
            </w:r>
          </w:p>
        </w:tc>
        <w:tc>
          <w:tcPr>
            <w:tcW w:w="782"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color w:val="010000"/>
                <w:szCs w:val="26"/>
              </w:rPr>
              <w:t>1.000.000.-</w:t>
            </w:r>
          </w:p>
        </w:tc>
        <w:tc>
          <w:tcPr>
            <w:tcW w:w="768" w:type="pct"/>
            <w:tcBorders>
              <w:top w:val="single" w:sz="4" w:space="0" w:color="auto"/>
              <w:left w:val="single" w:sz="4" w:space="0" w:color="auto"/>
              <w:bottom w:val="single" w:sz="4" w:space="0" w:color="auto"/>
              <w:right w:val="single" w:sz="4" w:space="0" w:color="auto"/>
            </w:tcBorders>
            <w:hideMark/>
          </w:tcPr>
          <w:p w:rsidR="00CC1EF5" w:rsidRPr="00CC1EF5" w:rsidRDefault="00CC1EF5" w:rsidP="00CC1EF5">
            <w:pPr>
              <w:pStyle w:val="msobodytextindent"/>
              <w:spacing w:after="120" w:line="240" w:lineRule="auto"/>
              <w:jc w:val="center"/>
              <w:rPr>
                <w:rFonts w:ascii="Times New Roman" w:hAnsi="Times New Roman" w:cs="Times New Roman"/>
                <w:color w:val="010000"/>
                <w:szCs w:val="26"/>
              </w:rPr>
            </w:pPr>
            <w:r w:rsidRPr="00CC1EF5">
              <w:rPr>
                <w:rFonts w:ascii="Times New Roman" w:hAnsi="Times New Roman" w:cs="Times New Roman"/>
                <w:color w:val="010000"/>
                <w:szCs w:val="26"/>
              </w:rPr>
              <w:t>9.000.000.-</w:t>
            </w:r>
          </w:p>
        </w:tc>
      </w:tr>
    </w:tbl>
    <w:p w:rsidR="00CC1EF5" w:rsidRPr="00CC1EF5" w:rsidRDefault="00CC1EF5" w:rsidP="00CC1EF5">
      <w:pPr>
        <w:pStyle w:val="msobodytextindent"/>
        <w:spacing w:after="200" w:line="240" w:lineRule="auto"/>
        <w:ind w:left="283" w:right="283" w:firstLine="709"/>
        <w:rPr>
          <w:rFonts w:ascii="Times New Roman" w:hAnsi="Times New Roman" w:cs="Times New Roman"/>
          <w:color w:val="010000"/>
        </w:rPr>
      </w:pPr>
      <w:r w:rsidRPr="00CC1EF5">
        <w:rPr>
          <w:rFonts w:ascii="Times New Roman" w:hAnsi="Times New Roman" w:cs="Times New Roman"/>
          <w:color w:val="010000"/>
          <w:szCs w:val="26"/>
        </w:rPr>
        <w:t>2820 sayılı Yasa'nın 60. maddesinde Parti adına elde edilen gelirlerin alındığı ve yapılan giderlerin ne gibi işlere ve yerlere harcandığının ilgili defterlere sıra ile ve belgeleri de belirtilerek geçirileceği, 61. maddesinde partilerin gelir kaynakları ve 69. maddesinde de gelirlerin sağlanmasındaki usul gösterilmiştir.</w:t>
      </w:r>
    </w:p>
    <w:p w:rsidR="00CC1EF5" w:rsidRPr="00CC1EF5" w:rsidRDefault="00CC1EF5" w:rsidP="00CC1EF5">
      <w:pPr>
        <w:pStyle w:val="msobodytextindent"/>
        <w:spacing w:after="200" w:line="240" w:lineRule="auto"/>
        <w:ind w:left="283" w:right="283" w:firstLine="709"/>
        <w:rPr>
          <w:rFonts w:ascii="Times New Roman" w:hAnsi="Times New Roman" w:cs="Times New Roman"/>
          <w:color w:val="010000"/>
        </w:rPr>
      </w:pPr>
      <w:r w:rsidRPr="00CC1EF5">
        <w:rPr>
          <w:rFonts w:ascii="Times New Roman" w:hAnsi="Times New Roman" w:cs="Times New Roman"/>
          <w:color w:val="010000"/>
          <w:szCs w:val="26"/>
        </w:rPr>
        <w:t xml:space="preserve">Buna göre, yukarıda ayrıntısı gösterilen İ.P. Gelir Makbuzunda elde edilen gelir miktarının Parti defter ve kayıtlarına ve dolayısıyla </w:t>
      </w:r>
      <w:proofErr w:type="spellStart"/>
      <w:r w:rsidRPr="00CC1EF5">
        <w:rPr>
          <w:rFonts w:ascii="Times New Roman" w:hAnsi="Times New Roman" w:cs="Times New Roman"/>
          <w:color w:val="010000"/>
          <w:szCs w:val="26"/>
        </w:rPr>
        <w:t>kesinhesaba</w:t>
      </w:r>
      <w:proofErr w:type="spellEnd"/>
      <w:r w:rsidRPr="00CC1EF5">
        <w:rPr>
          <w:rFonts w:ascii="Times New Roman" w:hAnsi="Times New Roman" w:cs="Times New Roman"/>
          <w:color w:val="010000"/>
          <w:szCs w:val="26"/>
        </w:rPr>
        <w:t xml:space="preserve"> yapılan hatalı kaydının düzeltilmesi ve bu işlemin düzeltme kaydının yapıldığı yıl hesabı içinde izlenmesi gerektiği sonucuna varılmıştır.</w:t>
      </w:r>
    </w:p>
    <w:p w:rsidR="00CC1EF5" w:rsidRPr="00CC1EF5" w:rsidRDefault="00CC1EF5" w:rsidP="00CC1EF5">
      <w:pPr>
        <w:spacing w:after="200"/>
        <w:ind w:left="283" w:right="283" w:firstLine="709"/>
        <w:jc w:val="both"/>
        <w:rPr>
          <w:color w:val="010000"/>
          <w:sz w:val="24"/>
        </w:rPr>
      </w:pPr>
      <w:r w:rsidRPr="00CC1EF5">
        <w:rPr>
          <w:b/>
          <w:bCs/>
          <w:color w:val="010000"/>
          <w:sz w:val="24"/>
          <w:szCs w:val="26"/>
        </w:rPr>
        <w:t>2- İl Örgütleri Gelirleri</w:t>
      </w:r>
    </w:p>
    <w:p w:rsidR="00CC1EF5" w:rsidRPr="00CC1EF5" w:rsidRDefault="00CC1EF5" w:rsidP="00CC1EF5">
      <w:pPr>
        <w:spacing w:after="200"/>
        <w:ind w:left="283" w:right="283" w:firstLine="709"/>
        <w:jc w:val="both"/>
        <w:rPr>
          <w:color w:val="010000"/>
          <w:sz w:val="24"/>
        </w:rPr>
      </w:pPr>
      <w:r w:rsidRPr="00CC1EF5">
        <w:rPr>
          <w:color w:val="010000"/>
          <w:sz w:val="24"/>
          <w:szCs w:val="26"/>
        </w:rPr>
        <w:t>Partinin il örgütlerinin gelirleri 244.057.422.833.-TL. olarak gösterilmiştir.</w:t>
      </w:r>
    </w:p>
    <w:p w:rsidR="00CC1EF5" w:rsidRPr="00CC1EF5" w:rsidRDefault="00CC1EF5" w:rsidP="00CC1EF5">
      <w:pPr>
        <w:spacing w:after="200"/>
        <w:ind w:left="283" w:right="283" w:firstLine="709"/>
        <w:jc w:val="both"/>
        <w:rPr>
          <w:color w:val="010000"/>
          <w:sz w:val="24"/>
        </w:rPr>
      </w:pPr>
      <w:r w:rsidRPr="00CC1EF5">
        <w:rPr>
          <w:color w:val="010000"/>
          <w:sz w:val="24"/>
          <w:szCs w:val="26"/>
        </w:rPr>
        <w:t xml:space="preserve">Bunun 85.122.310.200.-TL üye aidatları, 118.729.579.767.-TL bağışlar, 27.022.128.740.-TL örgüt yardımları, 1.623.265.100.-TL parti etkinlikleri, 1.289.000.000.-TL yayın satış ve 10.271.139.026.- TL ise önceki yıldan devirdir. </w:t>
      </w:r>
    </w:p>
    <w:p w:rsidR="00CC1EF5" w:rsidRPr="00CC1EF5" w:rsidRDefault="00CC1EF5" w:rsidP="00CC1EF5">
      <w:pPr>
        <w:spacing w:after="200"/>
        <w:ind w:left="283" w:right="283" w:firstLine="709"/>
        <w:jc w:val="both"/>
        <w:rPr>
          <w:color w:val="010000"/>
          <w:sz w:val="24"/>
        </w:rPr>
      </w:pPr>
      <w:r w:rsidRPr="00CC1EF5">
        <w:rPr>
          <w:color w:val="010000"/>
          <w:sz w:val="24"/>
          <w:szCs w:val="26"/>
        </w:rPr>
        <w:t>Parti İl Örgütleri'nin 2002 yılına devreden alacakları 304.800.000.-TL olup; bunun 5.300.000.-TL yol avansları, 166.500.000.-TL mutemet avansları ve 133.000.000.-TL de verilen depozitolar karşılığıdır.</w:t>
      </w:r>
    </w:p>
    <w:p w:rsidR="00CC1EF5" w:rsidRPr="00CC1EF5" w:rsidRDefault="00CC1EF5" w:rsidP="00CC1EF5">
      <w:pPr>
        <w:spacing w:after="200"/>
        <w:ind w:left="283" w:right="283" w:firstLine="709"/>
        <w:jc w:val="both"/>
        <w:rPr>
          <w:color w:val="010000"/>
          <w:sz w:val="24"/>
        </w:rPr>
      </w:pPr>
      <w:r w:rsidRPr="00CC1EF5">
        <w:rPr>
          <w:color w:val="010000"/>
          <w:sz w:val="24"/>
          <w:szCs w:val="26"/>
        </w:rPr>
        <w:t xml:space="preserve">İl örgütlerinin </w:t>
      </w:r>
      <w:proofErr w:type="spellStart"/>
      <w:r w:rsidRPr="00CC1EF5">
        <w:rPr>
          <w:color w:val="010000"/>
          <w:sz w:val="24"/>
          <w:szCs w:val="26"/>
        </w:rPr>
        <w:t>kesinhesap</w:t>
      </w:r>
      <w:proofErr w:type="spellEnd"/>
      <w:r w:rsidRPr="00CC1EF5">
        <w:rPr>
          <w:color w:val="010000"/>
          <w:sz w:val="24"/>
          <w:szCs w:val="26"/>
        </w:rPr>
        <w:t xml:space="preserve"> çizelgelerinin gelir bölümü üzerinde yapılan incelemede, gelirlerin Merkez Komitesi kararıyla doğruluğunun onaylandığı görülerek, 2820 sayılı Yasa'ya uygun olduğu sonucuna varılmıştır.</w:t>
      </w:r>
    </w:p>
    <w:p w:rsidR="00CC1EF5" w:rsidRPr="00CC1EF5" w:rsidRDefault="00CC1EF5" w:rsidP="00CC1EF5">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CC1EF5">
        <w:rPr>
          <w:rFonts w:ascii="Times New Roman" w:eastAsia="Times New Roman" w:hAnsi="Times New Roman" w:cs="Times New Roman"/>
          <w:color w:val="010000"/>
          <w:sz w:val="24"/>
          <w:szCs w:val="26"/>
        </w:rPr>
        <w:t>B- Giderlerin İncelenmesi</w:t>
      </w:r>
    </w:p>
    <w:p w:rsidR="00CC1EF5" w:rsidRPr="00CC1EF5" w:rsidRDefault="00CC1EF5" w:rsidP="00CC1EF5">
      <w:pPr>
        <w:spacing w:after="200"/>
        <w:ind w:left="283" w:right="283" w:firstLine="709"/>
        <w:jc w:val="both"/>
        <w:rPr>
          <w:color w:val="010000"/>
          <w:sz w:val="24"/>
        </w:rPr>
      </w:pPr>
      <w:r w:rsidRPr="00CC1EF5">
        <w:rPr>
          <w:b/>
          <w:bCs/>
          <w:color w:val="010000"/>
          <w:sz w:val="24"/>
          <w:szCs w:val="26"/>
        </w:rPr>
        <w:t>1- Genel Merkez Giderleri</w:t>
      </w:r>
    </w:p>
    <w:p w:rsidR="00CC1EF5" w:rsidRPr="00CC1EF5" w:rsidRDefault="00CC1EF5" w:rsidP="00CC1EF5">
      <w:pPr>
        <w:spacing w:after="200"/>
        <w:ind w:left="283" w:right="283" w:firstLine="709"/>
        <w:jc w:val="both"/>
        <w:rPr>
          <w:color w:val="010000"/>
          <w:sz w:val="24"/>
        </w:rPr>
      </w:pPr>
      <w:r w:rsidRPr="00CC1EF5">
        <w:rPr>
          <w:color w:val="010000"/>
          <w:sz w:val="24"/>
          <w:szCs w:val="26"/>
        </w:rPr>
        <w:t>Parti Genel Merkezi'nin giderleri 42.889.032.669.-TL olarak gösterilmiştir.</w:t>
      </w:r>
    </w:p>
    <w:p w:rsidR="00CC1EF5" w:rsidRPr="00CC1EF5" w:rsidRDefault="00CC1EF5" w:rsidP="00CC1EF5">
      <w:pPr>
        <w:spacing w:after="200"/>
        <w:ind w:left="283" w:right="283" w:firstLine="709"/>
        <w:jc w:val="both"/>
        <w:rPr>
          <w:color w:val="010000"/>
          <w:sz w:val="24"/>
        </w:rPr>
      </w:pPr>
      <w:r w:rsidRPr="00CC1EF5">
        <w:rPr>
          <w:color w:val="010000"/>
          <w:sz w:val="24"/>
          <w:szCs w:val="26"/>
        </w:rPr>
        <w:t>Bunun 20.145.421.888.-TL yönetim, 5.924.327.300.-TL personel, 1.920.000.000.-TL örgütlere verilen yardımlar, 442.054.300.-TL parti etkinlikleri, 4.662.690.000.-TL gezi, seçim ve toplantı, 7.492.472.800.-TL basın ve yayın, 721.790.000.-TL demirbaş alım, 686.693.740.-TL vergi, hukuk ve mahkeme, 893.582.641.-TL ise önceki yıl giderleridir.</w:t>
      </w:r>
    </w:p>
    <w:p w:rsidR="00CC1EF5" w:rsidRPr="00CC1EF5" w:rsidRDefault="00CC1EF5" w:rsidP="00CC1EF5">
      <w:pPr>
        <w:pStyle w:val="GvdeMetni2"/>
        <w:spacing w:after="200" w:line="240" w:lineRule="auto"/>
        <w:ind w:left="283" w:right="283" w:firstLine="709"/>
        <w:rPr>
          <w:rFonts w:ascii="Times New Roman" w:hAnsi="Times New Roman" w:cs="Times New Roman"/>
          <w:color w:val="010000"/>
        </w:rPr>
      </w:pPr>
      <w:r w:rsidRPr="00CC1EF5">
        <w:rPr>
          <w:rFonts w:ascii="Times New Roman" w:hAnsi="Times New Roman" w:cs="Times New Roman"/>
          <w:color w:val="010000"/>
          <w:szCs w:val="26"/>
        </w:rPr>
        <w:t>Parti Genel Merkezi'nce 596.805.460.-lira nakit mevcudu olarak 2002 yılına devredilmiştir.</w:t>
      </w:r>
    </w:p>
    <w:p w:rsidR="00CC1EF5" w:rsidRPr="00CC1EF5" w:rsidRDefault="00CC1EF5" w:rsidP="00CC1EF5">
      <w:pPr>
        <w:spacing w:after="200"/>
        <w:ind w:left="283" w:right="283" w:firstLine="709"/>
        <w:jc w:val="both"/>
        <w:rPr>
          <w:color w:val="010000"/>
          <w:sz w:val="24"/>
        </w:rPr>
      </w:pPr>
      <w:r w:rsidRPr="00CC1EF5">
        <w:rPr>
          <w:color w:val="010000"/>
          <w:sz w:val="24"/>
          <w:szCs w:val="26"/>
        </w:rPr>
        <w:lastRenderedPageBreak/>
        <w:t>Parti Genel Merkezi'nin borçları 2.451.990.066.-TL olup; bunun 727.388.000.-TL ödenecek vergi stopajları, 664.315.016.-TL ödenecek SSK primleri ve 1.060.287.050.-TL de satıcılardan alınan mal ve hizmet karşılığıdır.</w:t>
      </w:r>
    </w:p>
    <w:p w:rsidR="00CC1EF5" w:rsidRPr="00CC1EF5" w:rsidRDefault="00CC1EF5" w:rsidP="00CC1EF5">
      <w:pPr>
        <w:pStyle w:val="GvdeMetni2"/>
        <w:spacing w:after="200" w:line="240" w:lineRule="auto"/>
        <w:ind w:left="283" w:right="283" w:firstLine="709"/>
        <w:rPr>
          <w:rFonts w:ascii="Times New Roman" w:hAnsi="Times New Roman" w:cs="Times New Roman"/>
          <w:color w:val="010000"/>
        </w:rPr>
      </w:pPr>
      <w:r w:rsidRPr="00CC1EF5">
        <w:rPr>
          <w:rFonts w:ascii="Times New Roman" w:hAnsi="Times New Roman" w:cs="Times New Roman"/>
          <w:color w:val="010000"/>
          <w:szCs w:val="26"/>
        </w:rPr>
        <w:t>Genel Merkezin defter kayıtları ve gider belgeleri üzerinde yapılan incelemede, giderlerin ve borçların 2820 sayılı Yasa'ya uygun olarak gerçekleştirildiği sonucuna varılmıştır.</w:t>
      </w:r>
    </w:p>
    <w:p w:rsidR="00CC1EF5" w:rsidRPr="00CC1EF5" w:rsidRDefault="00CC1EF5" w:rsidP="00CC1EF5">
      <w:pPr>
        <w:spacing w:after="200"/>
        <w:ind w:left="283" w:right="283" w:firstLine="709"/>
        <w:jc w:val="both"/>
        <w:rPr>
          <w:color w:val="010000"/>
          <w:sz w:val="24"/>
        </w:rPr>
      </w:pPr>
      <w:r w:rsidRPr="00CC1EF5">
        <w:rPr>
          <w:b/>
          <w:bCs/>
          <w:color w:val="010000"/>
          <w:sz w:val="24"/>
          <w:szCs w:val="26"/>
        </w:rPr>
        <w:t>2- İl Örgütleri Giderleri</w:t>
      </w:r>
    </w:p>
    <w:p w:rsidR="00CC1EF5" w:rsidRPr="00CC1EF5" w:rsidRDefault="00CC1EF5" w:rsidP="00CC1EF5">
      <w:pPr>
        <w:spacing w:after="200"/>
        <w:ind w:left="283" w:right="283" w:firstLine="709"/>
        <w:jc w:val="both"/>
        <w:rPr>
          <w:color w:val="010000"/>
          <w:sz w:val="24"/>
        </w:rPr>
      </w:pPr>
      <w:r w:rsidRPr="00CC1EF5">
        <w:rPr>
          <w:color w:val="010000"/>
          <w:sz w:val="24"/>
          <w:szCs w:val="26"/>
        </w:rPr>
        <w:t>Partinin il örgütlerinin giderleri 224.803.780.781.-TL. olarak gösterilmiştir.</w:t>
      </w:r>
    </w:p>
    <w:p w:rsidR="00CC1EF5" w:rsidRPr="00CC1EF5" w:rsidRDefault="00CC1EF5" w:rsidP="00CC1EF5">
      <w:pPr>
        <w:spacing w:after="200"/>
        <w:ind w:left="283" w:right="283" w:firstLine="709"/>
        <w:jc w:val="both"/>
        <w:rPr>
          <w:color w:val="010000"/>
          <w:sz w:val="24"/>
        </w:rPr>
      </w:pPr>
      <w:r w:rsidRPr="00CC1EF5">
        <w:rPr>
          <w:color w:val="010000"/>
          <w:sz w:val="24"/>
          <w:szCs w:val="26"/>
        </w:rPr>
        <w:t>Bunun 170.421.510.040.-TL yönetim, 33.153.013.740.-TL örgüt yardımları, 3.335.436.940.-TL parti etkinlikleri, 9.448.744.103.-TL gezi, seçim ve toplantı, 5.951.433.906.-TL basın ve yayın, 1.993.601.052.-TL demirbaş alım, 462.151.000.-TL vergi, hukuk ve mahkeme, 37.890.000.-TL ise diğer yönetim giderleridir.</w:t>
      </w:r>
    </w:p>
    <w:p w:rsidR="00CC1EF5" w:rsidRPr="00CC1EF5" w:rsidRDefault="00CC1EF5" w:rsidP="00CC1EF5">
      <w:pPr>
        <w:spacing w:after="200"/>
        <w:ind w:left="283" w:right="283" w:firstLine="709"/>
        <w:jc w:val="both"/>
        <w:rPr>
          <w:color w:val="010000"/>
          <w:sz w:val="24"/>
        </w:rPr>
      </w:pPr>
      <w:r w:rsidRPr="00CC1EF5">
        <w:rPr>
          <w:color w:val="010000"/>
          <w:sz w:val="24"/>
          <w:szCs w:val="26"/>
        </w:rPr>
        <w:t>Parti İl Örgütleri'nce 18.948.842.052.-TL nakit mevcudu olarak 2002 yılına devredilmiştir.</w:t>
      </w:r>
      <w:r w:rsidRPr="00CC1EF5">
        <w:rPr>
          <w:color w:val="010000"/>
          <w:sz w:val="24"/>
          <w:szCs w:val="26"/>
        </w:rPr>
        <w:t xml:space="preserve"> </w:t>
      </w:r>
    </w:p>
    <w:p w:rsidR="00CC1EF5" w:rsidRPr="00CC1EF5" w:rsidRDefault="00CC1EF5" w:rsidP="00CC1EF5">
      <w:pPr>
        <w:spacing w:after="200"/>
        <w:ind w:left="283" w:right="283" w:firstLine="709"/>
        <w:jc w:val="both"/>
        <w:rPr>
          <w:color w:val="010000"/>
          <w:sz w:val="24"/>
        </w:rPr>
      </w:pPr>
      <w:r w:rsidRPr="00CC1EF5">
        <w:rPr>
          <w:color w:val="010000"/>
          <w:sz w:val="24"/>
          <w:szCs w:val="26"/>
        </w:rPr>
        <w:t xml:space="preserve">İl örgütleri </w:t>
      </w:r>
      <w:proofErr w:type="spellStart"/>
      <w:r w:rsidRPr="00CC1EF5">
        <w:rPr>
          <w:color w:val="010000"/>
          <w:sz w:val="24"/>
          <w:szCs w:val="26"/>
        </w:rPr>
        <w:t>kesinhesap</w:t>
      </w:r>
      <w:proofErr w:type="spellEnd"/>
      <w:r w:rsidRPr="00CC1EF5">
        <w:rPr>
          <w:color w:val="010000"/>
          <w:sz w:val="24"/>
          <w:szCs w:val="26"/>
        </w:rPr>
        <w:t xml:space="preserve"> çizelgelerinin gider bölümleri üzerinde yapılan incelemede, giderlerin 2820 sayılı Yasa'ya uygun olduğu sonucuna varılmıştır.</w:t>
      </w:r>
    </w:p>
    <w:p w:rsidR="00CC1EF5" w:rsidRPr="00CC1EF5" w:rsidRDefault="00CC1EF5" w:rsidP="00CC1EF5">
      <w:pPr>
        <w:spacing w:after="200"/>
        <w:ind w:left="283" w:right="283" w:firstLine="709"/>
        <w:jc w:val="both"/>
        <w:rPr>
          <w:color w:val="010000"/>
          <w:sz w:val="24"/>
        </w:rPr>
      </w:pPr>
      <w:r w:rsidRPr="00CC1EF5">
        <w:rPr>
          <w:b/>
          <w:bCs/>
          <w:color w:val="010000"/>
          <w:sz w:val="24"/>
          <w:szCs w:val="26"/>
        </w:rPr>
        <w:t>C- Parti Malları</w:t>
      </w:r>
    </w:p>
    <w:p w:rsidR="00CC1EF5" w:rsidRPr="00CC1EF5" w:rsidRDefault="00CC1EF5" w:rsidP="00CC1EF5">
      <w:pPr>
        <w:spacing w:after="200"/>
        <w:ind w:left="283" w:right="283" w:firstLine="709"/>
        <w:jc w:val="both"/>
        <w:rPr>
          <w:color w:val="010000"/>
          <w:sz w:val="24"/>
        </w:rPr>
      </w:pPr>
      <w:r w:rsidRPr="00CC1EF5">
        <w:rPr>
          <w:color w:val="010000"/>
          <w:sz w:val="24"/>
          <w:szCs w:val="26"/>
        </w:rPr>
        <w:t>Partinin 2001 yılında herhangi bir taşınmaz ediniminde bulunmadığı anlaşılmıştır.</w:t>
      </w:r>
    </w:p>
    <w:p w:rsidR="00CC1EF5" w:rsidRPr="00CC1EF5" w:rsidRDefault="00CC1EF5" w:rsidP="00CC1EF5">
      <w:pPr>
        <w:spacing w:after="200"/>
        <w:ind w:left="283" w:right="283" w:firstLine="709"/>
        <w:jc w:val="both"/>
        <w:rPr>
          <w:color w:val="010000"/>
          <w:sz w:val="24"/>
        </w:rPr>
      </w:pPr>
      <w:r w:rsidRPr="00CC1EF5">
        <w:rPr>
          <w:color w:val="010000"/>
          <w:sz w:val="24"/>
          <w:szCs w:val="26"/>
        </w:rPr>
        <w:t xml:space="preserve">Parti 2001 yılında 2820 sayılı Yasa'nın 74. Maddesi uyarınca her birinin değeri yüz milyon lirayı aşan toplam on adet ve 2.371.090.000.-TL. tutarında taşınır mal edinmiştir. </w:t>
      </w:r>
    </w:p>
    <w:p w:rsidR="00CC1EF5" w:rsidRPr="00CC1EF5" w:rsidRDefault="00CC1EF5" w:rsidP="00CC1EF5">
      <w:pPr>
        <w:spacing w:after="200"/>
        <w:ind w:left="283" w:right="283" w:firstLine="709"/>
        <w:jc w:val="both"/>
        <w:rPr>
          <w:color w:val="010000"/>
          <w:sz w:val="24"/>
        </w:rPr>
      </w:pPr>
      <w:r w:rsidRPr="00CC1EF5">
        <w:rPr>
          <w:color w:val="010000"/>
          <w:sz w:val="24"/>
          <w:szCs w:val="26"/>
        </w:rPr>
        <w:t xml:space="preserve">Bunun; 646.790.000.-liralık kısmı </w:t>
      </w:r>
      <w:proofErr w:type="spellStart"/>
      <w:r w:rsidRPr="00CC1EF5">
        <w:rPr>
          <w:color w:val="010000"/>
          <w:sz w:val="24"/>
          <w:szCs w:val="26"/>
        </w:rPr>
        <w:t>satınalma</w:t>
      </w:r>
      <w:proofErr w:type="spellEnd"/>
      <w:r w:rsidRPr="00CC1EF5">
        <w:rPr>
          <w:color w:val="010000"/>
          <w:sz w:val="24"/>
          <w:szCs w:val="26"/>
        </w:rPr>
        <w:t xml:space="preserve">, 1.250.000.000.-liralık kısmı ise bağış yoluyla olmak üzere toplam 1.896.790.000.-TL. tutarındaki kısmının Parti Genel Merkezince edinilen bilgisayar malzemesine; 354.300.000.-TL tutarındaki kısmının İstanbul İl Örgütü'nce </w:t>
      </w:r>
      <w:proofErr w:type="spellStart"/>
      <w:r w:rsidRPr="00CC1EF5">
        <w:rPr>
          <w:color w:val="010000"/>
          <w:sz w:val="24"/>
          <w:szCs w:val="26"/>
        </w:rPr>
        <w:t>satınalma</w:t>
      </w:r>
      <w:proofErr w:type="spellEnd"/>
      <w:r w:rsidRPr="00CC1EF5">
        <w:rPr>
          <w:color w:val="010000"/>
          <w:sz w:val="24"/>
          <w:szCs w:val="26"/>
        </w:rPr>
        <w:t xml:space="preserve"> yoluyla edinilen bilgisayara; 120.000.000.-TL tutarındaki kısmının da Çorum İl Örgütü'nce </w:t>
      </w:r>
      <w:proofErr w:type="spellStart"/>
      <w:r w:rsidRPr="00CC1EF5">
        <w:rPr>
          <w:color w:val="010000"/>
          <w:sz w:val="24"/>
          <w:szCs w:val="26"/>
        </w:rPr>
        <w:t>satınalma</w:t>
      </w:r>
      <w:proofErr w:type="spellEnd"/>
      <w:r w:rsidRPr="00CC1EF5">
        <w:rPr>
          <w:color w:val="010000"/>
          <w:sz w:val="24"/>
          <w:szCs w:val="26"/>
        </w:rPr>
        <w:t xml:space="preserve"> yoluyla edinilen koltuk takımına ilişkin olduğu anlaşılmıştır. </w:t>
      </w:r>
    </w:p>
    <w:p w:rsidR="00CC1EF5" w:rsidRPr="00CC1EF5" w:rsidRDefault="00CC1EF5" w:rsidP="00CC1EF5">
      <w:pPr>
        <w:spacing w:after="200"/>
        <w:ind w:left="283" w:right="283" w:firstLine="709"/>
        <w:jc w:val="both"/>
        <w:rPr>
          <w:color w:val="010000"/>
          <w:sz w:val="24"/>
        </w:rPr>
      </w:pPr>
      <w:r w:rsidRPr="00CC1EF5">
        <w:rPr>
          <w:color w:val="010000"/>
          <w:sz w:val="24"/>
          <w:szCs w:val="26"/>
        </w:rPr>
        <w:t xml:space="preserve">Parti'nin </w:t>
      </w:r>
      <w:proofErr w:type="spellStart"/>
      <w:r w:rsidRPr="00CC1EF5">
        <w:rPr>
          <w:color w:val="010000"/>
          <w:sz w:val="24"/>
          <w:szCs w:val="26"/>
        </w:rPr>
        <w:t>kesinhesabı</w:t>
      </w:r>
      <w:proofErr w:type="spellEnd"/>
      <w:r w:rsidRPr="00CC1EF5">
        <w:rPr>
          <w:color w:val="010000"/>
          <w:sz w:val="24"/>
          <w:szCs w:val="26"/>
        </w:rPr>
        <w:t xml:space="preserve"> ve ekleri üzerinde yapılan incelemede, </w:t>
      </w:r>
      <w:proofErr w:type="spellStart"/>
      <w:r w:rsidRPr="00CC1EF5">
        <w:rPr>
          <w:color w:val="010000"/>
          <w:sz w:val="24"/>
          <w:szCs w:val="26"/>
        </w:rPr>
        <w:t>satınalma</w:t>
      </w:r>
      <w:proofErr w:type="spellEnd"/>
      <w:r w:rsidRPr="00CC1EF5">
        <w:rPr>
          <w:color w:val="010000"/>
          <w:sz w:val="24"/>
          <w:szCs w:val="26"/>
        </w:rPr>
        <w:t xml:space="preserve"> ve bağış yoluyla elde edilen değerlerin 2820 sayılı Yasa'ya uygun olarak sağlandığı sonucuna varılmıştır.</w:t>
      </w:r>
    </w:p>
    <w:p w:rsidR="00CC1EF5" w:rsidRPr="00CC1EF5" w:rsidRDefault="00CC1EF5" w:rsidP="00CC1EF5">
      <w:pPr>
        <w:spacing w:after="200"/>
        <w:ind w:left="283" w:right="283" w:firstLine="709"/>
        <w:jc w:val="both"/>
        <w:rPr>
          <w:color w:val="010000"/>
          <w:sz w:val="24"/>
        </w:rPr>
      </w:pPr>
      <w:r w:rsidRPr="00CC1EF5">
        <w:rPr>
          <w:b/>
          <w:bCs/>
          <w:color w:val="010000"/>
          <w:sz w:val="24"/>
          <w:szCs w:val="26"/>
        </w:rPr>
        <w:t>IV- SONUÇ</w:t>
      </w:r>
    </w:p>
    <w:p w:rsidR="00CC1EF5" w:rsidRPr="00CC1EF5" w:rsidRDefault="00CC1EF5" w:rsidP="00CC1EF5">
      <w:pPr>
        <w:spacing w:after="200"/>
        <w:ind w:left="283" w:right="283" w:firstLine="709"/>
        <w:jc w:val="both"/>
        <w:rPr>
          <w:color w:val="010000"/>
          <w:sz w:val="24"/>
        </w:rPr>
      </w:pPr>
      <w:r w:rsidRPr="00CC1EF5">
        <w:rPr>
          <w:color w:val="010000"/>
          <w:sz w:val="24"/>
          <w:szCs w:val="26"/>
        </w:rPr>
        <w:t xml:space="preserve">İşçi Partisi'nin 2001 yılı </w:t>
      </w:r>
      <w:proofErr w:type="spellStart"/>
      <w:r w:rsidRPr="00CC1EF5">
        <w:rPr>
          <w:color w:val="010000"/>
          <w:sz w:val="24"/>
          <w:szCs w:val="26"/>
        </w:rPr>
        <w:t>kesinhesabının</w:t>
      </w:r>
      <w:proofErr w:type="spellEnd"/>
      <w:r w:rsidRPr="00CC1EF5">
        <w:rPr>
          <w:color w:val="010000"/>
          <w:sz w:val="24"/>
          <w:szCs w:val="26"/>
        </w:rPr>
        <w:t xml:space="preserve"> incelenmesi sonucunda;</w:t>
      </w:r>
    </w:p>
    <w:p w:rsidR="00CC1EF5" w:rsidRPr="00CC1EF5" w:rsidRDefault="00CC1EF5" w:rsidP="00CC1EF5">
      <w:pPr>
        <w:pStyle w:val="GvdeMetni"/>
        <w:spacing w:after="200"/>
        <w:ind w:left="283" w:right="283" w:firstLine="709"/>
        <w:jc w:val="both"/>
        <w:rPr>
          <w:color w:val="010000"/>
        </w:rPr>
      </w:pPr>
      <w:r w:rsidRPr="00CC1EF5">
        <w:rPr>
          <w:color w:val="010000"/>
          <w:szCs w:val="26"/>
        </w:rPr>
        <w:t xml:space="preserve">1- Parti'nin </w:t>
      </w:r>
      <w:proofErr w:type="spellStart"/>
      <w:r w:rsidRPr="00CC1EF5">
        <w:rPr>
          <w:color w:val="010000"/>
          <w:szCs w:val="26"/>
        </w:rPr>
        <w:t>kesinhesabında</w:t>
      </w:r>
      <w:proofErr w:type="spellEnd"/>
      <w:r w:rsidRPr="00CC1EF5">
        <w:rPr>
          <w:color w:val="010000"/>
          <w:szCs w:val="26"/>
        </w:rPr>
        <w:t xml:space="preserve"> gösterilen 285.640.858.641.-TL gelirin, 267.692.813.450.-TL giderin, 2.451.990.066.-TL borcun, 863.387.745.-TL alacağın ve 19.545.647.512.-TL nakit devrinin eldeki bilgi ve belgelere göre doğru ve 2820 sayılı Siyasi Partiler Kanunu'na uygun olduğuna,</w:t>
      </w:r>
    </w:p>
    <w:p w:rsidR="00CC1EF5" w:rsidRPr="00CC1EF5" w:rsidRDefault="00CC1EF5" w:rsidP="00CC1EF5">
      <w:pPr>
        <w:pStyle w:val="GvdeMetni"/>
        <w:spacing w:after="200"/>
        <w:ind w:left="283" w:right="283" w:firstLine="709"/>
        <w:jc w:val="both"/>
        <w:rPr>
          <w:color w:val="010000"/>
        </w:rPr>
      </w:pPr>
      <w:r w:rsidRPr="00CC1EF5">
        <w:rPr>
          <w:color w:val="010000"/>
          <w:szCs w:val="26"/>
        </w:rPr>
        <w:t>2- Parti Gelir Makbuzu ile gelir kaydedilen miktarın, parti defter ve kayıtlarına hatalı olarak geçirilmesi sonucu ortaya çıkan 9.000.000.-TL tutarındaki farka ilişkin düzeltme kaydının yapılması ve bu işlemin düzeltme kaydının yapıldığı yıl hesabı içinde izlenmesi gereğinin Parti'ye bildirilmesine,</w:t>
      </w:r>
    </w:p>
    <w:p w:rsidR="00CC1EF5" w:rsidRPr="00CC1EF5" w:rsidRDefault="00CC1EF5" w:rsidP="00CC1EF5">
      <w:pPr>
        <w:spacing w:after="200"/>
        <w:ind w:left="283" w:right="283" w:firstLine="709"/>
        <w:jc w:val="both"/>
        <w:rPr>
          <w:color w:val="010000"/>
          <w:sz w:val="24"/>
        </w:rPr>
      </w:pPr>
      <w:r w:rsidRPr="00CC1EF5">
        <w:rPr>
          <w:color w:val="010000"/>
          <w:sz w:val="24"/>
          <w:szCs w:val="26"/>
        </w:rPr>
        <w:t xml:space="preserve">9.6.2006 gününde OYBİRLİĞİYLE karar verildi. </w:t>
      </w:r>
    </w:p>
    <w:p w:rsidR="00CC1EF5" w:rsidRPr="00CC1EF5" w:rsidRDefault="00CC1EF5" w:rsidP="00CC1EF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CC1EF5" w:rsidRPr="00CC1EF5" w:rsidTr="00CC1EF5">
        <w:trPr>
          <w:jc w:val="center"/>
        </w:trPr>
        <w:tc>
          <w:tcPr>
            <w:tcW w:w="1667" w:type="pct"/>
            <w:tcMar>
              <w:top w:w="0" w:type="dxa"/>
              <w:left w:w="70" w:type="dxa"/>
              <w:bottom w:w="0" w:type="dxa"/>
              <w:right w:w="70" w:type="dxa"/>
            </w:tcMar>
            <w:hideMark/>
          </w:tcPr>
          <w:p w:rsidR="00CC1EF5" w:rsidRPr="00CC1EF5" w:rsidRDefault="00CC1EF5" w:rsidP="00CC1EF5">
            <w:pPr>
              <w:spacing w:after="120"/>
              <w:jc w:val="center"/>
              <w:rPr>
                <w:color w:val="010000"/>
                <w:sz w:val="24"/>
              </w:rPr>
            </w:pPr>
            <w:r w:rsidRPr="00CC1EF5">
              <w:rPr>
                <w:color w:val="010000"/>
                <w:sz w:val="24"/>
                <w:szCs w:val="26"/>
              </w:rPr>
              <w:t>Başkan</w:t>
            </w:r>
          </w:p>
          <w:p w:rsidR="00CC1EF5" w:rsidRPr="00CC1EF5" w:rsidRDefault="00CC1EF5" w:rsidP="00CC1EF5">
            <w:pPr>
              <w:spacing w:after="120"/>
              <w:jc w:val="center"/>
              <w:rPr>
                <w:color w:val="010000"/>
                <w:sz w:val="24"/>
              </w:rPr>
            </w:pPr>
            <w:r w:rsidRPr="00CC1EF5">
              <w:rPr>
                <w:color w:val="010000"/>
                <w:sz w:val="24"/>
                <w:szCs w:val="26"/>
              </w:rPr>
              <w:t>Tülay TUĞCU</w:t>
            </w:r>
          </w:p>
        </w:tc>
        <w:tc>
          <w:tcPr>
            <w:tcW w:w="1667" w:type="pct"/>
            <w:tcMar>
              <w:top w:w="0" w:type="dxa"/>
              <w:left w:w="70" w:type="dxa"/>
              <w:bottom w:w="0" w:type="dxa"/>
              <w:right w:w="70" w:type="dxa"/>
            </w:tcMar>
            <w:hideMark/>
          </w:tcPr>
          <w:p w:rsidR="00CC1EF5" w:rsidRPr="00CC1EF5" w:rsidRDefault="00CC1EF5" w:rsidP="00CC1EF5">
            <w:pPr>
              <w:spacing w:after="120"/>
              <w:jc w:val="center"/>
              <w:rPr>
                <w:color w:val="010000"/>
                <w:sz w:val="24"/>
              </w:rPr>
            </w:pPr>
            <w:r w:rsidRPr="00CC1EF5">
              <w:rPr>
                <w:color w:val="010000"/>
                <w:sz w:val="24"/>
                <w:szCs w:val="26"/>
              </w:rPr>
              <w:t>Başkanvekili</w:t>
            </w:r>
          </w:p>
          <w:p w:rsidR="00CC1EF5" w:rsidRPr="00CC1EF5" w:rsidRDefault="00CC1EF5" w:rsidP="00CC1EF5">
            <w:pPr>
              <w:spacing w:after="120"/>
              <w:jc w:val="center"/>
              <w:rPr>
                <w:color w:val="010000"/>
                <w:sz w:val="24"/>
              </w:rPr>
            </w:pPr>
            <w:r w:rsidRPr="00CC1EF5">
              <w:rPr>
                <w:color w:val="010000"/>
                <w:sz w:val="24"/>
                <w:szCs w:val="26"/>
              </w:rPr>
              <w:t>Haşim KILIÇ</w:t>
            </w:r>
          </w:p>
        </w:tc>
        <w:tc>
          <w:tcPr>
            <w:tcW w:w="1667" w:type="pct"/>
            <w:tcMar>
              <w:top w:w="0" w:type="dxa"/>
              <w:left w:w="70" w:type="dxa"/>
              <w:bottom w:w="0" w:type="dxa"/>
              <w:right w:w="70" w:type="dxa"/>
            </w:tcMar>
            <w:hideMark/>
          </w:tcPr>
          <w:p w:rsidR="00CC1EF5" w:rsidRPr="00CC1EF5" w:rsidRDefault="00CC1EF5" w:rsidP="00CC1EF5">
            <w:pPr>
              <w:spacing w:after="120"/>
              <w:jc w:val="center"/>
              <w:rPr>
                <w:color w:val="010000"/>
                <w:sz w:val="24"/>
              </w:rPr>
            </w:pPr>
            <w:r w:rsidRPr="00CC1EF5">
              <w:rPr>
                <w:color w:val="010000"/>
                <w:sz w:val="24"/>
                <w:szCs w:val="26"/>
              </w:rPr>
              <w:t>Üye</w:t>
            </w:r>
          </w:p>
          <w:p w:rsidR="00CC1EF5" w:rsidRPr="00CC1EF5" w:rsidRDefault="00CC1EF5" w:rsidP="00CC1EF5">
            <w:pPr>
              <w:spacing w:after="120"/>
              <w:jc w:val="center"/>
              <w:rPr>
                <w:color w:val="010000"/>
                <w:sz w:val="24"/>
              </w:rPr>
            </w:pPr>
            <w:r w:rsidRPr="00CC1EF5">
              <w:rPr>
                <w:color w:val="010000"/>
                <w:sz w:val="24"/>
                <w:szCs w:val="26"/>
              </w:rPr>
              <w:t>Fulya KANTARCIOĞLU</w:t>
            </w:r>
          </w:p>
        </w:tc>
      </w:tr>
    </w:tbl>
    <w:p w:rsidR="00CC1EF5" w:rsidRPr="00CC1EF5" w:rsidRDefault="00CC1EF5" w:rsidP="00CC1EF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CC1EF5" w:rsidRPr="00CC1EF5" w:rsidTr="00CC1EF5">
        <w:trPr>
          <w:jc w:val="center"/>
        </w:trPr>
        <w:tc>
          <w:tcPr>
            <w:tcW w:w="1667" w:type="pct"/>
            <w:tcMar>
              <w:top w:w="0" w:type="dxa"/>
              <w:left w:w="70" w:type="dxa"/>
              <w:bottom w:w="0" w:type="dxa"/>
              <w:right w:w="70" w:type="dxa"/>
            </w:tcMar>
            <w:hideMark/>
          </w:tcPr>
          <w:p w:rsidR="00CC1EF5" w:rsidRPr="00CC1EF5" w:rsidRDefault="00CC1EF5" w:rsidP="00CC1EF5">
            <w:pPr>
              <w:spacing w:after="120"/>
              <w:jc w:val="center"/>
              <w:rPr>
                <w:color w:val="010000"/>
                <w:sz w:val="24"/>
              </w:rPr>
            </w:pPr>
            <w:r w:rsidRPr="00CC1EF5">
              <w:rPr>
                <w:color w:val="010000"/>
                <w:sz w:val="24"/>
                <w:szCs w:val="26"/>
              </w:rPr>
              <w:t>Üye</w:t>
            </w:r>
          </w:p>
          <w:p w:rsidR="00CC1EF5" w:rsidRPr="00CC1EF5" w:rsidRDefault="00CC1EF5" w:rsidP="00CC1EF5">
            <w:pPr>
              <w:spacing w:after="120"/>
              <w:jc w:val="center"/>
              <w:rPr>
                <w:color w:val="010000"/>
                <w:sz w:val="24"/>
              </w:rPr>
            </w:pPr>
            <w:r w:rsidRPr="00CC1EF5">
              <w:rPr>
                <w:color w:val="010000"/>
                <w:sz w:val="24"/>
                <w:szCs w:val="26"/>
              </w:rPr>
              <w:t>Ahmet AKYALÇIN</w:t>
            </w:r>
          </w:p>
        </w:tc>
        <w:tc>
          <w:tcPr>
            <w:tcW w:w="1667" w:type="pct"/>
            <w:tcMar>
              <w:top w:w="0" w:type="dxa"/>
              <w:left w:w="70" w:type="dxa"/>
              <w:bottom w:w="0" w:type="dxa"/>
              <w:right w:w="70" w:type="dxa"/>
            </w:tcMar>
            <w:hideMark/>
          </w:tcPr>
          <w:p w:rsidR="00CC1EF5" w:rsidRPr="00CC1EF5" w:rsidRDefault="00CC1EF5" w:rsidP="00CC1EF5">
            <w:pPr>
              <w:spacing w:after="120"/>
              <w:jc w:val="center"/>
              <w:rPr>
                <w:color w:val="010000"/>
                <w:sz w:val="24"/>
              </w:rPr>
            </w:pPr>
            <w:r w:rsidRPr="00CC1EF5">
              <w:rPr>
                <w:color w:val="010000"/>
                <w:sz w:val="24"/>
                <w:szCs w:val="26"/>
              </w:rPr>
              <w:t>Üye</w:t>
            </w:r>
          </w:p>
          <w:p w:rsidR="00CC1EF5" w:rsidRPr="00CC1EF5" w:rsidRDefault="00CC1EF5" w:rsidP="00CC1EF5">
            <w:pPr>
              <w:spacing w:after="120"/>
              <w:jc w:val="center"/>
              <w:rPr>
                <w:color w:val="010000"/>
                <w:sz w:val="24"/>
              </w:rPr>
            </w:pPr>
            <w:r w:rsidRPr="00CC1EF5">
              <w:rPr>
                <w:color w:val="010000"/>
                <w:sz w:val="24"/>
                <w:szCs w:val="26"/>
              </w:rPr>
              <w:t>Mehmet ERTEN</w:t>
            </w:r>
          </w:p>
        </w:tc>
        <w:tc>
          <w:tcPr>
            <w:tcW w:w="1667" w:type="pct"/>
            <w:tcMar>
              <w:top w:w="0" w:type="dxa"/>
              <w:left w:w="70" w:type="dxa"/>
              <w:bottom w:w="0" w:type="dxa"/>
              <w:right w:w="70" w:type="dxa"/>
            </w:tcMar>
            <w:hideMark/>
          </w:tcPr>
          <w:p w:rsidR="00CC1EF5" w:rsidRPr="00CC1EF5" w:rsidRDefault="00CC1EF5" w:rsidP="00CC1EF5">
            <w:pPr>
              <w:spacing w:after="120"/>
              <w:jc w:val="center"/>
              <w:rPr>
                <w:color w:val="010000"/>
                <w:sz w:val="24"/>
              </w:rPr>
            </w:pPr>
            <w:r w:rsidRPr="00CC1EF5">
              <w:rPr>
                <w:color w:val="010000"/>
                <w:sz w:val="24"/>
                <w:szCs w:val="26"/>
              </w:rPr>
              <w:t>Üye</w:t>
            </w:r>
          </w:p>
          <w:p w:rsidR="00CC1EF5" w:rsidRPr="00CC1EF5" w:rsidRDefault="00CC1EF5" w:rsidP="00CC1EF5">
            <w:pPr>
              <w:spacing w:after="120"/>
              <w:jc w:val="center"/>
              <w:rPr>
                <w:color w:val="010000"/>
                <w:sz w:val="24"/>
              </w:rPr>
            </w:pPr>
            <w:r w:rsidRPr="00CC1EF5">
              <w:rPr>
                <w:color w:val="010000"/>
                <w:sz w:val="24"/>
                <w:szCs w:val="26"/>
              </w:rPr>
              <w:t>Mustafa YILDIRIM</w:t>
            </w:r>
          </w:p>
        </w:tc>
      </w:tr>
    </w:tbl>
    <w:p w:rsidR="00CC1EF5" w:rsidRPr="00CC1EF5" w:rsidRDefault="00CC1EF5" w:rsidP="00CC1EF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CC1EF5" w:rsidRPr="00CC1EF5" w:rsidTr="00CC1EF5">
        <w:trPr>
          <w:jc w:val="center"/>
        </w:trPr>
        <w:tc>
          <w:tcPr>
            <w:tcW w:w="1667" w:type="pct"/>
            <w:tcMar>
              <w:top w:w="0" w:type="dxa"/>
              <w:left w:w="70" w:type="dxa"/>
              <w:bottom w:w="0" w:type="dxa"/>
              <w:right w:w="70" w:type="dxa"/>
            </w:tcMar>
            <w:hideMark/>
          </w:tcPr>
          <w:p w:rsidR="00CC1EF5" w:rsidRPr="00CC1EF5" w:rsidRDefault="00CC1EF5" w:rsidP="00CC1EF5">
            <w:pPr>
              <w:spacing w:after="120"/>
              <w:jc w:val="center"/>
              <w:rPr>
                <w:color w:val="010000"/>
                <w:sz w:val="24"/>
              </w:rPr>
            </w:pPr>
            <w:r w:rsidRPr="00CC1EF5">
              <w:rPr>
                <w:color w:val="010000"/>
                <w:sz w:val="24"/>
                <w:szCs w:val="26"/>
              </w:rPr>
              <w:t>Üye</w:t>
            </w:r>
          </w:p>
          <w:p w:rsidR="00CC1EF5" w:rsidRPr="00CC1EF5" w:rsidRDefault="00CC1EF5" w:rsidP="00CC1EF5">
            <w:pPr>
              <w:spacing w:after="120"/>
              <w:jc w:val="center"/>
              <w:rPr>
                <w:color w:val="010000"/>
                <w:sz w:val="24"/>
              </w:rPr>
            </w:pPr>
            <w:r w:rsidRPr="00CC1EF5">
              <w:rPr>
                <w:color w:val="010000"/>
                <w:sz w:val="24"/>
                <w:szCs w:val="26"/>
              </w:rPr>
              <w:t>A. Necmi ÖZLER</w:t>
            </w:r>
          </w:p>
        </w:tc>
        <w:tc>
          <w:tcPr>
            <w:tcW w:w="1667" w:type="pct"/>
            <w:tcMar>
              <w:top w:w="0" w:type="dxa"/>
              <w:left w:w="70" w:type="dxa"/>
              <w:bottom w:w="0" w:type="dxa"/>
              <w:right w:w="70" w:type="dxa"/>
            </w:tcMar>
            <w:hideMark/>
          </w:tcPr>
          <w:p w:rsidR="00CC1EF5" w:rsidRPr="00CC1EF5" w:rsidRDefault="00CC1EF5" w:rsidP="00CC1EF5">
            <w:pPr>
              <w:spacing w:after="120"/>
              <w:jc w:val="center"/>
              <w:rPr>
                <w:color w:val="010000"/>
                <w:sz w:val="24"/>
              </w:rPr>
            </w:pPr>
            <w:r w:rsidRPr="00CC1EF5">
              <w:rPr>
                <w:color w:val="010000"/>
                <w:sz w:val="24"/>
                <w:szCs w:val="26"/>
              </w:rPr>
              <w:t>Üye</w:t>
            </w:r>
          </w:p>
          <w:p w:rsidR="00CC1EF5" w:rsidRPr="00CC1EF5" w:rsidRDefault="00CC1EF5" w:rsidP="00CC1EF5">
            <w:pPr>
              <w:spacing w:after="120"/>
              <w:jc w:val="center"/>
              <w:rPr>
                <w:color w:val="010000"/>
                <w:sz w:val="24"/>
              </w:rPr>
            </w:pPr>
            <w:r w:rsidRPr="00CC1EF5">
              <w:rPr>
                <w:color w:val="010000"/>
                <w:sz w:val="24"/>
                <w:szCs w:val="26"/>
              </w:rPr>
              <w:t>Serdar ÖZGÜLDÜR</w:t>
            </w:r>
          </w:p>
        </w:tc>
        <w:tc>
          <w:tcPr>
            <w:tcW w:w="1667" w:type="pct"/>
            <w:tcMar>
              <w:top w:w="0" w:type="dxa"/>
              <w:left w:w="70" w:type="dxa"/>
              <w:bottom w:w="0" w:type="dxa"/>
              <w:right w:w="70" w:type="dxa"/>
            </w:tcMar>
            <w:hideMark/>
          </w:tcPr>
          <w:p w:rsidR="00CC1EF5" w:rsidRPr="00CC1EF5" w:rsidRDefault="00CC1EF5" w:rsidP="00CC1EF5">
            <w:pPr>
              <w:spacing w:after="120"/>
              <w:jc w:val="center"/>
              <w:rPr>
                <w:color w:val="010000"/>
                <w:sz w:val="24"/>
              </w:rPr>
            </w:pPr>
            <w:r w:rsidRPr="00CC1EF5">
              <w:rPr>
                <w:color w:val="010000"/>
                <w:sz w:val="24"/>
                <w:szCs w:val="26"/>
              </w:rPr>
              <w:t>Üye</w:t>
            </w:r>
          </w:p>
          <w:p w:rsidR="00CC1EF5" w:rsidRPr="00CC1EF5" w:rsidRDefault="00CC1EF5" w:rsidP="00CC1EF5">
            <w:pPr>
              <w:spacing w:after="120"/>
              <w:jc w:val="center"/>
              <w:rPr>
                <w:color w:val="010000"/>
                <w:sz w:val="24"/>
              </w:rPr>
            </w:pPr>
            <w:r w:rsidRPr="00CC1EF5">
              <w:rPr>
                <w:color w:val="010000"/>
                <w:sz w:val="24"/>
                <w:szCs w:val="26"/>
              </w:rPr>
              <w:t>Şevket APALAK</w:t>
            </w:r>
          </w:p>
        </w:tc>
      </w:tr>
    </w:tbl>
    <w:p w:rsidR="00CC1EF5" w:rsidRPr="00CC1EF5" w:rsidRDefault="00CC1EF5" w:rsidP="00CC1EF5">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CC1EF5" w:rsidRPr="00CC1EF5" w:rsidTr="00CC1EF5">
        <w:trPr>
          <w:jc w:val="center"/>
        </w:trPr>
        <w:tc>
          <w:tcPr>
            <w:tcW w:w="2500" w:type="pct"/>
            <w:tcMar>
              <w:top w:w="0" w:type="dxa"/>
              <w:left w:w="70" w:type="dxa"/>
              <w:bottom w:w="0" w:type="dxa"/>
              <w:right w:w="70" w:type="dxa"/>
            </w:tcMar>
            <w:hideMark/>
          </w:tcPr>
          <w:p w:rsidR="00CC1EF5" w:rsidRPr="00CC1EF5" w:rsidRDefault="00CC1EF5" w:rsidP="00CC1EF5">
            <w:pPr>
              <w:spacing w:after="120"/>
              <w:jc w:val="center"/>
              <w:rPr>
                <w:color w:val="010000"/>
                <w:sz w:val="24"/>
              </w:rPr>
            </w:pPr>
            <w:r w:rsidRPr="00CC1EF5">
              <w:rPr>
                <w:color w:val="010000"/>
                <w:sz w:val="24"/>
                <w:szCs w:val="26"/>
              </w:rPr>
              <w:t>Üye</w:t>
            </w:r>
          </w:p>
          <w:p w:rsidR="00CC1EF5" w:rsidRPr="00CC1EF5" w:rsidRDefault="00CC1EF5" w:rsidP="00CC1EF5">
            <w:pPr>
              <w:spacing w:after="120"/>
              <w:jc w:val="center"/>
              <w:rPr>
                <w:color w:val="010000"/>
                <w:sz w:val="24"/>
              </w:rPr>
            </w:pPr>
            <w:proofErr w:type="spellStart"/>
            <w:r w:rsidRPr="00CC1EF5">
              <w:rPr>
                <w:color w:val="010000"/>
                <w:sz w:val="24"/>
                <w:szCs w:val="26"/>
              </w:rPr>
              <w:t>Serruh</w:t>
            </w:r>
            <w:proofErr w:type="spellEnd"/>
            <w:r w:rsidRPr="00CC1EF5">
              <w:rPr>
                <w:color w:val="010000"/>
                <w:sz w:val="24"/>
                <w:szCs w:val="26"/>
              </w:rPr>
              <w:t xml:space="preserve"> KALELİ</w:t>
            </w:r>
          </w:p>
        </w:tc>
        <w:tc>
          <w:tcPr>
            <w:tcW w:w="2500" w:type="pct"/>
            <w:tcMar>
              <w:top w:w="0" w:type="dxa"/>
              <w:left w:w="70" w:type="dxa"/>
              <w:bottom w:w="0" w:type="dxa"/>
              <w:right w:w="70" w:type="dxa"/>
            </w:tcMar>
            <w:hideMark/>
          </w:tcPr>
          <w:p w:rsidR="00CC1EF5" w:rsidRPr="00CC1EF5" w:rsidRDefault="00CC1EF5" w:rsidP="00CC1EF5">
            <w:pPr>
              <w:spacing w:after="120"/>
              <w:jc w:val="center"/>
              <w:rPr>
                <w:color w:val="010000"/>
                <w:sz w:val="24"/>
              </w:rPr>
            </w:pPr>
            <w:r w:rsidRPr="00CC1EF5">
              <w:rPr>
                <w:color w:val="010000"/>
                <w:sz w:val="24"/>
                <w:szCs w:val="26"/>
              </w:rPr>
              <w:t>Üye</w:t>
            </w:r>
          </w:p>
          <w:p w:rsidR="00CC1EF5" w:rsidRPr="00CC1EF5" w:rsidRDefault="00CC1EF5" w:rsidP="00CC1EF5">
            <w:pPr>
              <w:spacing w:after="120"/>
              <w:jc w:val="center"/>
              <w:rPr>
                <w:color w:val="010000"/>
                <w:sz w:val="24"/>
              </w:rPr>
            </w:pPr>
            <w:r w:rsidRPr="00CC1EF5">
              <w:rPr>
                <w:color w:val="010000"/>
                <w:sz w:val="24"/>
                <w:szCs w:val="26"/>
              </w:rPr>
              <w:t xml:space="preserve">Osman </w:t>
            </w:r>
            <w:proofErr w:type="spellStart"/>
            <w:r w:rsidRPr="00CC1EF5">
              <w:rPr>
                <w:color w:val="010000"/>
                <w:sz w:val="24"/>
                <w:szCs w:val="26"/>
              </w:rPr>
              <w:t>Alifeyyaz</w:t>
            </w:r>
            <w:proofErr w:type="spellEnd"/>
            <w:r w:rsidRPr="00CC1EF5">
              <w:rPr>
                <w:color w:val="010000"/>
                <w:sz w:val="24"/>
                <w:szCs w:val="26"/>
              </w:rPr>
              <w:t xml:space="preserve"> PAKSÜT</w:t>
            </w:r>
          </w:p>
        </w:tc>
      </w:tr>
    </w:tbl>
    <w:p w:rsidR="00CC1EF5" w:rsidRPr="00CC1EF5" w:rsidRDefault="00CC1EF5" w:rsidP="00CC1EF5">
      <w:pPr>
        <w:spacing w:after="200"/>
        <w:ind w:left="283" w:right="283" w:firstLine="709"/>
        <w:jc w:val="both"/>
        <w:rPr>
          <w:color w:val="010000"/>
          <w:sz w:val="24"/>
        </w:rPr>
      </w:pPr>
      <w:bookmarkStart w:id="0" w:name="_GoBack"/>
      <w:bookmarkEnd w:id="0"/>
    </w:p>
    <w:sectPr w:rsidR="00CC1EF5" w:rsidRPr="00CC1EF5" w:rsidSect="00CC1EF5">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04B" w:rsidRDefault="00C3204B" w:rsidP="00CC1EF5">
      <w:r>
        <w:separator/>
      </w:r>
    </w:p>
  </w:endnote>
  <w:endnote w:type="continuationSeparator" w:id="0">
    <w:p w:rsidR="00C3204B" w:rsidRDefault="00C3204B" w:rsidP="00CC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EF5" w:rsidRDefault="00CC1EF5" w:rsidP="00DC3B7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C1EF5" w:rsidRDefault="00CC1EF5" w:rsidP="00CC1EF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EF5" w:rsidRPr="00CC1EF5" w:rsidRDefault="00CC1EF5" w:rsidP="00DC3B70">
    <w:pPr>
      <w:pStyle w:val="AltBilgi"/>
      <w:framePr w:wrap="around" w:vAnchor="text" w:hAnchor="margin" w:xAlign="right" w:y="1"/>
      <w:rPr>
        <w:rStyle w:val="SayfaNumaras"/>
        <w:sz w:val="24"/>
      </w:rPr>
    </w:pPr>
    <w:r w:rsidRPr="00CC1EF5">
      <w:rPr>
        <w:rStyle w:val="SayfaNumaras"/>
        <w:sz w:val="24"/>
      </w:rPr>
      <w:fldChar w:fldCharType="begin"/>
    </w:r>
    <w:r w:rsidRPr="00CC1EF5">
      <w:rPr>
        <w:rStyle w:val="SayfaNumaras"/>
        <w:sz w:val="24"/>
      </w:rPr>
      <w:instrText xml:space="preserve"> PAGE </w:instrText>
    </w:r>
    <w:r w:rsidRPr="00CC1EF5">
      <w:rPr>
        <w:rStyle w:val="SayfaNumaras"/>
        <w:sz w:val="24"/>
      </w:rPr>
      <w:fldChar w:fldCharType="separate"/>
    </w:r>
    <w:r w:rsidRPr="00CC1EF5">
      <w:rPr>
        <w:rStyle w:val="SayfaNumaras"/>
        <w:noProof/>
        <w:sz w:val="24"/>
      </w:rPr>
      <w:t>1</w:t>
    </w:r>
    <w:r w:rsidRPr="00CC1EF5">
      <w:rPr>
        <w:rStyle w:val="SayfaNumaras"/>
        <w:sz w:val="24"/>
      </w:rPr>
      <w:fldChar w:fldCharType="end"/>
    </w:r>
  </w:p>
  <w:p w:rsidR="00CC1EF5" w:rsidRDefault="00CC1EF5" w:rsidP="00CC1EF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04B" w:rsidRDefault="00C3204B" w:rsidP="00CC1EF5">
      <w:r>
        <w:separator/>
      </w:r>
    </w:p>
  </w:footnote>
  <w:footnote w:type="continuationSeparator" w:id="0">
    <w:p w:rsidR="00C3204B" w:rsidRDefault="00C3204B" w:rsidP="00CC1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EF5" w:rsidRPr="00CC1EF5" w:rsidRDefault="00CC1EF5" w:rsidP="00CC1EF5">
    <w:pPr>
      <w:pStyle w:val="stBilgi"/>
      <w:rPr>
        <w:b/>
        <w:sz w:val="24"/>
      </w:rPr>
    </w:pPr>
    <w:r w:rsidRPr="00CC1EF5">
      <w:rPr>
        <w:b/>
        <w:sz w:val="24"/>
      </w:rPr>
      <w:t>Esas Sayısı:2002/8 (Siyasî Parti Malî Denetimi)</w:t>
    </w:r>
  </w:p>
  <w:p w:rsidR="00CC1EF5" w:rsidRDefault="00CC1EF5" w:rsidP="00CC1EF5">
    <w:pPr>
      <w:pStyle w:val="stBilgi"/>
      <w:rPr>
        <w:b/>
        <w:sz w:val="24"/>
      </w:rPr>
    </w:pPr>
    <w:r>
      <w:rPr>
        <w:b/>
        <w:sz w:val="24"/>
      </w:rPr>
      <w:t>Karar Sayısı:2006/50</w:t>
    </w:r>
  </w:p>
  <w:p w:rsidR="00CC1EF5" w:rsidRPr="00CC1EF5" w:rsidRDefault="00CC1EF5" w:rsidP="00CC1EF5">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F5"/>
    <w:rsid w:val="00041752"/>
    <w:rsid w:val="00065B42"/>
    <w:rsid w:val="000E45EB"/>
    <w:rsid w:val="000F1EDB"/>
    <w:rsid w:val="00124B66"/>
    <w:rsid w:val="00286DD9"/>
    <w:rsid w:val="00347E8D"/>
    <w:rsid w:val="00503F1E"/>
    <w:rsid w:val="00821D56"/>
    <w:rsid w:val="008D57F7"/>
    <w:rsid w:val="00B04393"/>
    <w:rsid w:val="00C3204B"/>
    <w:rsid w:val="00CC1EF5"/>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00A0F-5DB1-4AEF-B453-54B11FCA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EF5"/>
    <w:pPr>
      <w:overflowPunct w:val="0"/>
      <w:autoSpaceDE w:val="0"/>
      <w:autoSpaceDN w:val="0"/>
      <w:spacing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1752"/>
    <w:rPr>
      <w:sz w:val="40"/>
      <w:szCs w:val="40"/>
    </w:rPr>
  </w:style>
  <w:style w:type="character" w:customStyle="1" w:styleId="Balk2Char">
    <w:name w:val="Başlık 2 Char"/>
    <w:basedOn w:val="VarsaylanParagrafYazTipi"/>
    <w:link w:val="Balk2"/>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GvdeMetni">
    <w:name w:val="Body Text"/>
    <w:basedOn w:val="Normal"/>
    <w:link w:val="GvdeMetniChar"/>
    <w:semiHidden/>
    <w:unhideWhenUsed/>
    <w:rsid w:val="00CC1EF5"/>
    <w:rPr>
      <w:sz w:val="24"/>
      <w:szCs w:val="24"/>
    </w:rPr>
  </w:style>
  <w:style w:type="character" w:customStyle="1" w:styleId="GvdeMetniChar">
    <w:name w:val="Gövde Metni Char"/>
    <w:basedOn w:val="VarsaylanParagrafYazTipi"/>
    <w:link w:val="GvdeMetni"/>
    <w:semiHidden/>
    <w:rsid w:val="00CC1EF5"/>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CC1EF5"/>
    <w:pPr>
      <w:spacing w:line="360" w:lineRule="auto"/>
      <w:jc w:val="both"/>
    </w:pPr>
    <w:rPr>
      <w:rFonts w:ascii="Arial" w:hAnsi="Arial" w:cs="Arial"/>
      <w:sz w:val="24"/>
      <w:szCs w:val="24"/>
    </w:rPr>
  </w:style>
  <w:style w:type="paragraph" w:styleId="GvdeMetni2">
    <w:name w:val="Body Text 2"/>
    <w:basedOn w:val="Normal"/>
    <w:link w:val="GvdeMetni2Char"/>
    <w:semiHidden/>
    <w:unhideWhenUsed/>
    <w:rsid w:val="00CC1EF5"/>
    <w:pPr>
      <w:spacing w:line="360" w:lineRule="auto"/>
      <w:jc w:val="both"/>
    </w:pPr>
    <w:rPr>
      <w:rFonts w:ascii="Arial" w:hAnsi="Arial" w:cs="Arial"/>
      <w:sz w:val="24"/>
      <w:szCs w:val="24"/>
    </w:rPr>
  </w:style>
  <w:style w:type="character" w:customStyle="1" w:styleId="GvdeMetni2Char">
    <w:name w:val="Gövde Metni 2 Char"/>
    <w:basedOn w:val="VarsaylanParagrafYazTipi"/>
    <w:link w:val="GvdeMetni2"/>
    <w:semiHidden/>
    <w:rsid w:val="00CC1EF5"/>
    <w:rPr>
      <w:rFonts w:eastAsia="Times New Roman"/>
      <w:sz w:val="24"/>
      <w:szCs w:val="24"/>
      <w:lang w:eastAsia="tr-TR"/>
    </w:rPr>
  </w:style>
  <w:style w:type="table" w:styleId="TabloKlavuzu">
    <w:name w:val="Table Grid"/>
    <w:basedOn w:val="NormalTablo"/>
    <w:rsid w:val="00CC1EF5"/>
    <w:pPr>
      <w:overflowPunct w:val="0"/>
      <w:autoSpaceDE w:val="0"/>
      <w:autoSpaceDN w:val="0"/>
      <w:spacing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1EF5"/>
    <w:pPr>
      <w:tabs>
        <w:tab w:val="center" w:pos="4536"/>
        <w:tab w:val="right" w:pos="9072"/>
      </w:tabs>
    </w:pPr>
  </w:style>
  <w:style w:type="character" w:customStyle="1" w:styleId="stBilgiChar">
    <w:name w:val="Üst Bilgi Char"/>
    <w:basedOn w:val="VarsaylanParagrafYazTipi"/>
    <w:link w:val="stBilgi"/>
    <w:uiPriority w:val="99"/>
    <w:rsid w:val="00CC1EF5"/>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CC1EF5"/>
    <w:pPr>
      <w:tabs>
        <w:tab w:val="center" w:pos="4536"/>
        <w:tab w:val="right" w:pos="9072"/>
      </w:tabs>
    </w:pPr>
  </w:style>
  <w:style w:type="character" w:customStyle="1" w:styleId="AltBilgiChar">
    <w:name w:val="Alt Bilgi Char"/>
    <w:basedOn w:val="VarsaylanParagrafYazTipi"/>
    <w:link w:val="AltBilgi"/>
    <w:uiPriority w:val="99"/>
    <w:rsid w:val="00CC1EF5"/>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CC1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2020-06-15T06:43:00Z</dcterms:created>
  <dcterms:modified xsi:type="dcterms:W3CDTF">2020-06-15T06:43:00Z</dcterms:modified>
</cp:coreProperties>
</file>