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E9B" w:rsidRDefault="00027E9B" w:rsidP="00027E9B">
      <w:pPr>
        <w:spacing w:after="200"/>
        <w:ind w:left="283" w:right="283"/>
        <w:jc w:val="center"/>
        <w:rPr>
          <w:b/>
          <w:bCs/>
          <w:caps/>
          <w:color w:val="010000"/>
          <w:szCs w:val="26"/>
        </w:rPr>
      </w:pPr>
      <w:r w:rsidRPr="00027E9B">
        <w:rPr>
          <w:b/>
          <w:bCs/>
          <w:caps/>
          <w:color w:val="010000"/>
          <w:szCs w:val="26"/>
        </w:rPr>
        <w:t>ANAYASA MAHKEMESİ KARARI</w:t>
      </w:r>
    </w:p>
    <w:p w:rsidR="00027E9B" w:rsidRPr="00027E9B" w:rsidRDefault="00027E9B" w:rsidP="00027E9B">
      <w:pPr>
        <w:spacing w:after="200"/>
        <w:ind w:left="283" w:right="283" w:firstLine="709"/>
        <w:jc w:val="center"/>
        <w:rPr>
          <w:b/>
          <w:bCs/>
          <w:caps/>
          <w:color w:val="010000"/>
          <w:szCs w:val="26"/>
        </w:rPr>
      </w:pPr>
    </w:p>
    <w:p w:rsidR="00027E9B" w:rsidRDefault="00027E9B" w:rsidP="00027E9B">
      <w:pPr>
        <w:rPr>
          <w:b/>
          <w:color w:val="010000"/>
        </w:rPr>
      </w:pPr>
      <w:r>
        <w:rPr>
          <w:b/>
          <w:color w:val="010000"/>
        </w:rPr>
        <w:t>Esas Sayısı:2003/16 (Siyasî Parti Malî Denetimi)</w:t>
      </w:r>
    </w:p>
    <w:p w:rsidR="00027E9B" w:rsidRDefault="00027E9B" w:rsidP="00027E9B">
      <w:pPr>
        <w:rPr>
          <w:b/>
          <w:color w:val="010000"/>
        </w:rPr>
      </w:pPr>
      <w:r>
        <w:rPr>
          <w:b/>
          <w:color w:val="010000"/>
        </w:rPr>
        <w:t>Karar Sayısı:2005/23</w:t>
      </w:r>
    </w:p>
    <w:p w:rsidR="00027E9B" w:rsidRDefault="00027E9B" w:rsidP="00027E9B">
      <w:pPr>
        <w:rPr>
          <w:b/>
          <w:color w:val="010000"/>
        </w:rPr>
      </w:pPr>
      <w:r>
        <w:rPr>
          <w:b/>
          <w:color w:val="010000"/>
        </w:rPr>
        <w:t>Karar Günü:1.12.2005</w:t>
      </w:r>
    </w:p>
    <w:p w:rsidR="00027E9B" w:rsidRDefault="00027E9B" w:rsidP="00027E9B">
      <w:pPr>
        <w:rPr>
          <w:b/>
          <w:color w:val="010000"/>
        </w:rPr>
      </w:pPr>
      <w:r>
        <w:rPr>
          <w:b/>
          <w:color w:val="010000"/>
        </w:rPr>
        <w:t>R.G. Tarih-Sayı:28.01.2006-26063</w:t>
      </w:r>
    </w:p>
    <w:p w:rsidR="00027E9B" w:rsidRPr="00027E9B" w:rsidRDefault="00027E9B" w:rsidP="00027E9B">
      <w:pPr>
        <w:rPr>
          <w:b/>
          <w:color w:val="010000"/>
        </w:rPr>
      </w:pPr>
    </w:p>
    <w:p w:rsidR="00027E9B" w:rsidRPr="00027E9B" w:rsidRDefault="00027E9B" w:rsidP="00027E9B">
      <w:pPr>
        <w:spacing w:after="200"/>
        <w:ind w:left="283" w:right="283" w:firstLine="709"/>
        <w:jc w:val="both"/>
        <w:rPr>
          <w:color w:val="010000"/>
        </w:rPr>
      </w:pPr>
      <w:proofErr w:type="gramStart"/>
      <w:r w:rsidRPr="00027E9B">
        <w:rPr>
          <w:b/>
          <w:color w:val="010000"/>
          <w:szCs w:val="18"/>
        </w:rPr>
        <w:t>I -</w:t>
      </w:r>
      <w:proofErr w:type="gramEnd"/>
      <w:r w:rsidRPr="00027E9B">
        <w:rPr>
          <w:b/>
          <w:color w:val="010000"/>
          <w:szCs w:val="18"/>
        </w:rPr>
        <w:t xml:space="preserve"> MALİ DENETİMİN KONUSU</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Sağduyu Partisi'nin 2002 yılı </w:t>
      </w:r>
      <w:proofErr w:type="spellStart"/>
      <w:r w:rsidRPr="00027E9B">
        <w:rPr>
          <w:color w:val="010000"/>
          <w:szCs w:val="18"/>
        </w:rPr>
        <w:t>kesinhesabının</w:t>
      </w:r>
      <w:proofErr w:type="spellEnd"/>
      <w:r w:rsidRPr="00027E9B">
        <w:rPr>
          <w:color w:val="010000"/>
          <w:szCs w:val="18"/>
        </w:rPr>
        <w:t xml:space="preserve"> incelenmesidir.</w:t>
      </w:r>
    </w:p>
    <w:p w:rsidR="00027E9B" w:rsidRPr="00027E9B" w:rsidRDefault="00027E9B" w:rsidP="00027E9B">
      <w:pPr>
        <w:spacing w:after="200"/>
        <w:ind w:left="283" w:right="283" w:firstLine="709"/>
        <w:jc w:val="both"/>
        <w:rPr>
          <w:color w:val="010000"/>
        </w:rPr>
      </w:pPr>
      <w:r w:rsidRPr="00027E9B">
        <w:rPr>
          <w:color w:val="010000"/>
          <w:szCs w:val="18"/>
        </w:rPr>
        <w:t xml:space="preserve"> </w:t>
      </w:r>
      <w:proofErr w:type="gramStart"/>
      <w:r w:rsidRPr="00027E9B">
        <w:rPr>
          <w:b/>
          <w:color w:val="010000"/>
          <w:szCs w:val="18"/>
        </w:rPr>
        <w:t>II -</w:t>
      </w:r>
      <w:proofErr w:type="gramEnd"/>
      <w:r w:rsidRPr="00027E9B">
        <w:rPr>
          <w:b/>
          <w:color w:val="010000"/>
          <w:szCs w:val="18"/>
        </w:rPr>
        <w:t xml:space="preserve"> İLK İNCELEME</w:t>
      </w:r>
    </w:p>
    <w:p w:rsidR="00027E9B" w:rsidRPr="00027E9B" w:rsidRDefault="00027E9B" w:rsidP="00027E9B">
      <w:pPr>
        <w:spacing w:after="200"/>
        <w:ind w:left="283" w:right="283" w:firstLine="709"/>
        <w:jc w:val="both"/>
        <w:rPr>
          <w:color w:val="010000"/>
        </w:rPr>
      </w:pPr>
      <w:r w:rsidRPr="00027E9B">
        <w:rPr>
          <w:b/>
          <w:color w:val="010000"/>
          <w:szCs w:val="18"/>
        </w:rPr>
        <w:t xml:space="preserve"> </w:t>
      </w:r>
      <w:r w:rsidRPr="00027E9B">
        <w:rPr>
          <w:color w:val="010000"/>
          <w:szCs w:val="18"/>
        </w:rPr>
        <w:t xml:space="preserve">Anayasa Mahkemesi </w:t>
      </w:r>
      <w:proofErr w:type="spellStart"/>
      <w:r w:rsidRPr="00027E9B">
        <w:rPr>
          <w:color w:val="010000"/>
          <w:szCs w:val="18"/>
        </w:rPr>
        <w:t>İçtüzüğü'nün</w:t>
      </w:r>
      <w:proofErr w:type="spellEnd"/>
      <w:r w:rsidRPr="00027E9B">
        <w:rPr>
          <w:color w:val="010000"/>
          <w:szCs w:val="18"/>
        </w:rPr>
        <w:t xml:space="preserve"> 16. maddesi uyarınca Tülay TUĞCU, Haşim KILIÇ, </w:t>
      </w:r>
      <w:proofErr w:type="spellStart"/>
      <w:r w:rsidRPr="00027E9B">
        <w:rPr>
          <w:color w:val="010000"/>
          <w:szCs w:val="18"/>
        </w:rPr>
        <w:t>Sacit</w:t>
      </w:r>
      <w:proofErr w:type="spellEnd"/>
      <w:r w:rsidRPr="00027E9B">
        <w:rPr>
          <w:color w:val="010000"/>
          <w:szCs w:val="18"/>
        </w:rPr>
        <w:t xml:space="preserve"> ADALI, Fulya KANTARCIOĞLU, Ahmet AKYALÇIN, Mehmet ERTEN, </w:t>
      </w:r>
      <w:proofErr w:type="spellStart"/>
      <w:proofErr w:type="gramStart"/>
      <w:r w:rsidRPr="00027E9B">
        <w:rPr>
          <w:color w:val="010000"/>
          <w:szCs w:val="18"/>
        </w:rPr>
        <w:t>A.Necmi</w:t>
      </w:r>
      <w:proofErr w:type="spellEnd"/>
      <w:proofErr w:type="gramEnd"/>
      <w:r w:rsidRPr="00027E9B">
        <w:rPr>
          <w:color w:val="010000"/>
          <w:szCs w:val="18"/>
        </w:rPr>
        <w:t xml:space="preserve"> ÖZLER, Serdar ÖZGÜLDÜR, Şevket APALAK, </w:t>
      </w:r>
      <w:proofErr w:type="spellStart"/>
      <w:r w:rsidRPr="00027E9B">
        <w:rPr>
          <w:color w:val="010000"/>
          <w:szCs w:val="18"/>
        </w:rPr>
        <w:t>Serruh</w:t>
      </w:r>
      <w:proofErr w:type="spellEnd"/>
      <w:r w:rsidRPr="00027E9B">
        <w:rPr>
          <w:color w:val="010000"/>
          <w:szCs w:val="18"/>
        </w:rPr>
        <w:t xml:space="preserve"> KALELİ ve Osman </w:t>
      </w:r>
      <w:proofErr w:type="spellStart"/>
      <w:r w:rsidRPr="00027E9B">
        <w:rPr>
          <w:color w:val="010000"/>
          <w:szCs w:val="18"/>
        </w:rPr>
        <w:t>Alifeyyaz</w:t>
      </w:r>
      <w:proofErr w:type="spellEnd"/>
      <w:r w:rsidRPr="00027E9B">
        <w:rPr>
          <w:color w:val="010000"/>
          <w:szCs w:val="18"/>
        </w:rPr>
        <w:t xml:space="preserve"> </w:t>
      </w:r>
      <w:proofErr w:type="spellStart"/>
      <w:r w:rsidRPr="00027E9B">
        <w:rPr>
          <w:color w:val="010000"/>
          <w:szCs w:val="18"/>
        </w:rPr>
        <w:t>PAKSÜT'ün</w:t>
      </w:r>
      <w:proofErr w:type="spellEnd"/>
      <w:r w:rsidRPr="00027E9B">
        <w:rPr>
          <w:color w:val="010000"/>
          <w:szCs w:val="18"/>
        </w:rPr>
        <w:t xml:space="preserve"> katılmalarıyla 1.12.2005 tarihinde yapılan ilk inceleme toplantısında;</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Sağduyu Partisi'nin 2002 yılı </w:t>
      </w:r>
      <w:proofErr w:type="spellStart"/>
      <w:r w:rsidRPr="00027E9B">
        <w:rPr>
          <w:color w:val="010000"/>
          <w:szCs w:val="18"/>
        </w:rPr>
        <w:t>kesinhesabının</w:t>
      </w:r>
      <w:proofErr w:type="spellEnd"/>
      <w:r w:rsidRPr="00027E9B">
        <w:rPr>
          <w:color w:val="010000"/>
          <w:szCs w:val="18"/>
        </w:rPr>
        <w:t xml:space="preserve"> incelenmesi sonucunda 'Dosyadaki eksiklikler giderildiğinden işin esasının incelenmesine; oybirliğiyle' karar verilmiştir.</w:t>
      </w:r>
    </w:p>
    <w:p w:rsidR="00027E9B" w:rsidRPr="00027E9B" w:rsidRDefault="00027E9B" w:rsidP="00027E9B">
      <w:pPr>
        <w:spacing w:after="200"/>
        <w:ind w:left="283" w:right="283" w:firstLine="709"/>
        <w:jc w:val="both"/>
        <w:rPr>
          <w:color w:val="010000"/>
        </w:rPr>
      </w:pPr>
      <w:r w:rsidRPr="00027E9B">
        <w:rPr>
          <w:color w:val="010000"/>
          <w:szCs w:val="18"/>
        </w:rPr>
        <w:t xml:space="preserve"> </w:t>
      </w:r>
      <w:proofErr w:type="gramStart"/>
      <w:r w:rsidRPr="00027E9B">
        <w:rPr>
          <w:b/>
          <w:color w:val="010000"/>
          <w:szCs w:val="18"/>
        </w:rPr>
        <w:t>III -</w:t>
      </w:r>
      <w:proofErr w:type="gramEnd"/>
      <w:r w:rsidRPr="00027E9B">
        <w:rPr>
          <w:b/>
          <w:color w:val="010000"/>
          <w:szCs w:val="18"/>
        </w:rPr>
        <w:t xml:space="preserve"> ESASIN İNCELENMESİ</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Parti'nin Anayasa Mahkemesi'ne verdiği 2002 yılı </w:t>
      </w:r>
      <w:proofErr w:type="spellStart"/>
      <w:r w:rsidRPr="00027E9B">
        <w:rPr>
          <w:color w:val="010000"/>
          <w:szCs w:val="18"/>
        </w:rPr>
        <w:t>kesinhesap</w:t>
      </w:r>
      <w:proofErr w:type="spellEnd"/>
      <w:r w:rsidRPr="00027E9B">
        <w:rPr>
          <w:color w:val="010000"/>
          <w:szCs w:val="18"/>
        </w:rPr>
        <w:t xml:space="preserve"> çizelgeleri ile dayanağını oluşturan defter ve belgeler üzerinde yapılan inceleme sonuçlarını içeren esas inceleme raporu, Anayasa ve 2949 Anayasa Mahkemesinin Kuruluşu ve Yargılama Usulleri Hakkında Kanun ile 2820 sayılı Siyasî Partiler Kanunu'nun ilgili kuralları, bunların gerekçeleri ve diğer yasama belgeleri okunup incelendikten sonra gereği görüşülüp düşünüldü:</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Denetimin maddi öğelerini oluşturan defter ve belgelerde Parti'nin Genel Merkezi'nin 2002 yılı gelirlerinin 100.000.000.-TL, giderlerinin 30.680.000.-TL ve 2003 yılına nakit devrinin 69.320.000.-TL, gelir ile gider ve nakit devir rakamlarının toplamının birbirine denk olduğu görülmüştür.</w:t>
      </w:r>
    </w:p>
    <w:p w:rsidR="00027E9B" w:rsidRPr="00027E9B" w:rsidRDefault="00027E9B" w:rsidP="00027E9B">
      <w:pPr>
        <w:spacing w:after="200"/>
        <w:ind w:left="283" w:right="283" w:firstLine="709"/>
        <w:jc w:val="both"/>
        <w:rPr>
          <w:color w:val="010000"/>
        </w:rPr>
      </w:pPr>
      <w:r w:rsidRPr="00027E9B">
        <w:rPr>
          <w:b/>
          <w:color w:val="010000"/>
          <w:szCs w:val="18"/>
        </w:rPr>
        <w:t xml:space="preserve"> </w:t>
      </w:r>
      <w:proofErr w:type="gramStart"/>
      <w:r w:rsidRPr="00027E9B">
        <w:rPr>
          <w:b/>
          <w:color w:val="010000"/>
          <w:szCs w:val="18"/>
        </w:rPr>
        <w:t>A -</w:t>
      </w:r>
      <w:proofErr w:type="gramEnd"/>
      <w:r w:rsidRPr="00027E9B">
        <w:rPr>
          <w:b/>
          <w:color w:val="010000"/>
          <w:szCs w:val="18"/>
        </w:rPr>
        <w:t xml:space="preserve"> Gelirlerin İncelenmesi</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Parti Genel Merkezi'nin gelirleri 100.000.000.-TL olarak gösterilmiştir. Bunun tamamı bağış gelirleridir.</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Parti defter kayıtları ve gelir belgeleri üzerinde yapılan incelemede, gelirlerin 2820 sayılı Yasa'nın 61-69. maddelerine uygun olarak sağlandığı sonucuna varılmıştır.</w:t>
      </w:r>
    </w:p>
    <w:p w:rsidR="00027E9B" w:rsidRPr="00027E9B" w:rsidRDefault="00027E9B" w:rsidP="00027E9B">
      <w:pPr>
        <w:spacing w:after="200"/>
        <w:ind w:left="283" w:right="283" w:firstLine="709"/>
        <w:jc w:val="both"/>
        <w:rPr>
          <w:color w:val="010000"/>
        </w:rPr>
      </w:pPr>
      <w:r w:rsidRPr="00027E9B">
        <w:rPr>
          <w:color w:val="010000"/>
          <w:szCs w:val="18"/>
        </w:rPr>
        <w:t xml:space="preserve"> </w:t>
      </w:r>
      <w:proofErr w:type="gramStart"/>
      <w:r w:rsidRPr="00027E9B">
        <w:rPr>
          <w:b/>
          <w:color w:val="010000"/>
          <w:szCs w:val="18"/>
        </w:rPr>
        <w:t>B -</w:t>
      </w:r>
      <w:proofErr w:type="gramEnd"/>
      <w:r w:rsidRPr="00027E9B">
        <w:rPr>
          <w:b/>
          <w:color w:val="010000"/>
          <w:szCs w:val="18"/>
        </w:rPr>
        <w:t xml:space="preserve"> Giderlerin İncelenmesi</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Parti Genel Merkezi'nin giderleri 30.680.000.-TL olarak gösterilmiştir. Bunun tamamı Resmi Defter alım giderleridir.</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Parti Genel Merkezi'nce 69.320.000.-TL nakit mevcudu olarak 2003 yılına devredilmiştir.</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Genel Merkez'in defter kayıtları ve gider belgeleri üzerinde yapılan incelemede, giderlerin 2820 sayılı Yasa'ya uygun olarak gerçekleştirildiği sonucuna varılmıştır.</w:t>
      </w:r>
    </w:p>
    <w:p w:rsidR="00027E9B" w:rsidRPr="00027E9B" w:rsidRDefault="00027E9B" w:rsidP="00027E9B">
      <w:pPr>
        <w:spacing w:after="200"/>
        <w:ind w:left="283" w:right="283" w:firstLine="709"/>
        <w:jc w:val="both"/>
        <w:rPr>
          <w:color w:val="010000"/>
        </w:rPr>
      </w:pPr>
      <w:r w:rsidRPr="00027E9B">
        <w:rPr>
          <w:color w:val="010000"/>
          <w:szCs w:val="18"/>
        </w:rPr>
        <w:lastRenderedPageBreak/>
        <w:t xml:space="preserve"> </w:t>
      </w:r>
      <w:proofErr w:type="gramStart"/>
      <w:r w:rsidRPr="00027E9B">
        <w:rPr>
          <w:b/>
          <w:color w:val="010000"/>
          <w:szCs w:val="18"/>
        </w:rPr>
        <w:t>C -</w:t>
      </w:r>
      <w:proofErr w:type="gramEnd"/>
      <w:r w:rsidRPr="00027E9B">
        <w:rPr>
          <w:b/>
          <w:color w:val="010000"/>
          <w:szCs w:val="18"/>
        </w:rPr>
        <w:t xml:space="preserve"> Parti Malları</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Parti'nin </w:t>
      </w:r>
      <w:proofErr w:type="spellStart"/>
      <w:r w:rsidRPr="00027E9B">
        <w:rPr>
          <w:color w:val="010000"/>
          <w:szCs w:val="18"/>
        </w:rPr>
        <w:t>kesinhesabı</w:t>
      </w:r>
      <w:proofErr w:type="spellEnd"/>
      <w:r w:rsidRPr="00027E9B">
        <w:rPr>
          <w:color w:val="010000"/>
          <w:szCs w:val="18"/>
        </w:rPr>
        <w:t xml:space="preserve"> ve ekleri üzerinde yapılan incelemede, 2002 yılında taşınmaz ve değeri yüz milyon lirayı (yüz Yeni Türk Lirasını) aşan herhangi bir taşınır mal, menkul kıymet ve her türlü hak ediniminin bulunmadığı anlaşılmıştır.</w:t>
      </w:r>
    </w:p>
    <w:p w:rsidR="00027E9B" w:rsidRPr="00027E9B" w:rsidRDefault="00027E9B" w:rsidP="00027E9B">
      <w:pPr>
        <w:spacing w:after="200"/>
        <w:ind w:left="283" w:right="283" w:firstLine="709"/>
        <w:jc w:val="both"/>
        <w:rPr>
          <w:color w:val="010000"/>
        </w:rPr>
      </w:pPr>
      <w:r w:rsidRPr="00027E9B">
        <w:rPr>
          <w:b/>
          <w:color w:val="010000"/>
          <w:szCs w:val="18"/>
        </w:rPr>
        <w:t xml:space="preserve"> </w:t>
      </w:r>
      <w:proofErr w:type="gramStart"/>
      <w:r w:rsidRPr="00027E9B">
        <w:rPr>
          <w:b/>
          <w:color w:val="010000"/>
          <w:szCs w:val="18"/>
        </w:rPr>
        <w:t>IV -</w:t>
      </w:r>
      <w:proofErr w:type="gramEnd"/>
      <w:r w:rsidRPr="00027E9B">
        <w:rPr>
          <w:b/>
          <w:color w:val="010000"/>
          <w:szCs w:val="18"/>
        </w:rPr>
        <w:t xml:space="preserve"> SONUÇ</w:t>
      </w:r>
    </w:p>
    <w:p w:rsidR="00027E9B" w:rsidRPr="00027E9B" w:rsidRDefault="00027E9B" w:rsidP="00027E9B">
      <w:pPr>
        <w:spacing w:after="200"/>
        <w:ind w:left="283" w:right="283" w:firstLine="709"/>
        <w:jc w:val="both"/>
        <w:rPr>
          <w:color w:val="010000"/>
        </w:rPr>
      </w:pPr>
      <w:r w:rsidRPr="00027E9B">
        <w:rPr>
          <w:b/>
          <w:color w:val="010000"/>
          <w:szCs w:val="18"/>
        </w:rPr>
        <w:t xml:space="preserve"> </w:t>
      </w:r>
      <w:r w:rsidRPr="00027E9B">
        <w:rPr>
          <w:color w:val="010000"/>
          <w:szCs w:val="18"/>
        </w:rPr>
        <w:t>Sağduyu</w:t>
      </w:r>
      <w:r w:rsidRPr="00027E9B">
        <w:rPr>
          <w:b/>
          <w:color w:val="010000"/>
          <w:szCs w:val="18"/>
        </w:rPr>
        <w:t xml:space="preserve"> </w:t>
      </w:r>
      <w:r w:rsidRPr="00027E9B">
        <w:rPr>
          <w:color w:val="010000"/>
          <w:szCs w:val="18"/>
        </w:rPr>
        <w:t xml:space="preserve">Partisi'nin 2002 yılı </w:t>
      </w:r>
      <w:proofErr w:type="spellStart"/>
      <w:r w:rsidRPr="00027E9B">
        <w:rPr>
          <w:color w:val="010000"/>
          <w:szCs w:val="18"/>
        </w:rPr>
        <w:t>kesinhesabının</w:t>
      </w:r>
      <w:proofErr w:type="spellEnd"/>
      <w:r w:rsidRPr="00027E9B">
        <w:rPr>
          <w:color w:val="010000"/>
          <w:szCs w:val="18"/>
        </w:rPr>
        <w:t xml:space="preserve"> incelenmesi sonucunda;</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Parti'nin </w:t>
      </w:r>
      <w:proofErr w:type="spellStart"/>
      <w:r w:rsidRPr="00027E9B">
        <w:rPr>
          <w:color w:val="010000"/>
          <w:szCs w:val="18"/>
        </w:rPr>
        <w:t>kesinhesabında</w:t>
      </w:r>
      <w:proofErr w:type="spellEnd"/>
      <w:r w:rsidRPr="00027E9B">
        <w:rPr>
          <w:color w:val="010000"/>
          <w:szCs w:val="18"/>
        </w:rPr>
        <w:t xml:space="preserve"> gösterilen 100.000.000.- lira geliri ile 30.680.000.- lira giderinin ve 69.320.000.- lira nakit devrinin eldeki bilgi ve belgelere göre doğru ve 2820 sayılı Siyasî Partiler Kanunu'na uygun olduğuna, Serdar </w:t>
      </w:r>
      <w:proofErr w:type="spellStart"/>
      <w:r w:rsidRPr="00027E9B">
        <w:rPr>
          <w:color w:val="010000"/>
          <w:szCs w:val="18"/>
        </w:rPr>
        <w:t>ÖZGÜLDÜR'ün</w:t>
      </w:r>
      <w:proofErr w:type="spellEnd"/>
      <w:r w:rsidRPr="00027E9B">
        <w:rPr>
          <w:color w:val="010000"/>
          <w:szCs w:val="18"/>
        </w:rPr>
        <w:t xml:space="preserve"> </w:t>
      </w:r>
      <w:proofErr w:type="spellStart"/>
      <w:r w:rsidRPr="00027E9B">
        <w:rPr>
          <w:color w:val="010000"/>
          <w:szCs w:val="18"/>
        </w:rPr>
        <w:t>karşıoyu</w:t>
      </w:r>
      <w:proofErr w:type="spellEnd"/>
      <w:r w:rsidRPr="00027E9B">
        <w:rPr>
          <w:color w:val="010000"/>
          <w:szCs w:val="18"/>
        </w:rPr>
        <w:t xml:space="preserve"> ve OYÇOKLUĞUYLA 1.12.2005 gününde karar verildi.</w:t>
      </w:r>
    </w:p>
    <w:p w:rsidR="00027E9B" w:rsidRPr="00027E9B" w:rsidRDefault="00027E9B" w:rsidP="00027E9B">
      <w:pPr>
        <w:spacing w:after="200"/>
        <w:ind w:left="283" w:right="283" w:firstLine="709"/>
        <w:jc w:val="both"/>
        <w:rPr>
          <w:color w:val="010000"/>
        </w:rPr>
      </w:pPr>
    </w:p>
    <w:tbl>
      <w:tblPr>
        <w:tblW w:w="5000" w:type="pct"/>
        <w:jc w:val="center"/>
        <w:tblCellMar>
          <w:left w:w="70" w:type="dxa"/>
          <w:right w:w="70" w:type="dxa"/>
        </w:tblCellMar>
        <w:tblLook w:val="04A0" w:firstRow="1" w:lastRow="0" w:firstColumn="1" w:lastColumn="0" w:noHBand="0" w:noVBand="1"/>
      </w:tblPr>
      <w:tblGrid>
        <w:gridCol w:w="3308"/>
        <w:gridCol w:w="3307"/>
        <w:gridCol w:w="3305"/>
      </w:tblGrid>
      <w:tr w:rsidR="00027E9B" w:rsidRPr="00027E9B" w:rsidTr="00027E9B">
        <w:trPr>
          <w:jc w:val="center"/>
        </w:trPr>
        <w:tc>
          <w:tcPr>
            <w:tcW w:w="1667" w:type="pct"/>
            <w:hideMark/>
          </w:tcPr>
          <w:p w:rsidR="00027E9B" w:rsidRPr="00027E9B" w:rsidRDefault="00027E9B" w:rsidP="00027E9B">
            <w:pPr>
              <w:spacing w:after="120"/>
              <w:jc w:val="center"/>
              <w:rPr>
                <w:color w:val="010000"/>
              </w:rPr>
            </w:pPr>
            <w:r w:rsidRPr="00027E9B">
              <w:rPr>
                <w:color w:val="010000"/>
                <w:szCs w:val="18"/>
              </w:rPr>
              <w:t xml:space="preserve">Başkan </w:t>
            </w:r>
          </w:p>
          <w:p w:rsidR="00027E9B" w:rsidRPr="00027E9B" w:rsidRDefault="00027E9B" w:rsidP="00027E9B">
            <w:pPr>
              <w:spacing w:after="120"/>
              <w:jc w:val="center"/>
              <w:rPr>
                <w:color w:val="010000"/>
              </w:rPr>
            </w:pPr>
            <w:r w:rsidRPr="00027E9B">
              <w:rPr>
                <w:color w:val="010000"/>
                <w:szCs w:val="18"/>
              </w:rPr>
              <w:t>Tülay TUĞCU</w:t>
            </w:r>
          </w:p>
        </w:tc>
        <w:tc>
          <w:tcPr>
            <w:tcW w:w="1667" w:type="pct"/>
            <w:hideMark/>
          </w:tcPr>
          <w:p w:rsidR="00027E9B" w:rsidRPr="00027E9B" w:rsidRDefault="00027E9B" w:rsidP="00027E9B">
            <w:pPr>
              <w:spacing w:after="120"/>
              <w:jc w:val="center"/>
              <w:rPr>
                <w:color w:val="010000"/>
              </w:rPr>
            </w:pPr>
            <w:r w:rsidRPr="00027E9B">
              <w:rPr>
                <w:color w:val="010000"/>
                <w:szCs w:val="18"/>
              </w:rPr>
              <w:t>Başkanvekili</w:t>
            </w:r>
            <w:r w:rsidRPr="00027E9B">
              <w:rPr>
                <w:color w:val="010000"/>
                <w:szCs w:val="18"/>
              </w:rPr>
              <w:t xml:space="preserve"> </w:t>
            </w:r>
          </w:p>
          <w:p w:rsidR="00027E9B" w:rsidRPr="00027E9B" w:rsidRDefault="00027E9B" w:rsidP="00027E9B">
            <w:pPr>
              <w:spacing w:after="120"/>
              <w:jc w:val="center"/>
              <w:rPr>
                <w:color w:val="010000"/>
              </w:rPr>
            </w:pPr>
            <w:r w:rsidRPr="00027E9B">
              <w:rPr>
                <w:color w:val="010000"/>
                <w:szCs w:val="18"/>
              </w:rPr>
              <w:t>Haşim KILIÇ</w:t>
            </w:r>
          </w:p>
        </w:tc>
        <w:tc>
          <w:tcPr>
            <w:tcW w:w="1667" w:type="pct"/>
            <w:hideMark/>
          </w:tcPr>
          <w:p w:rsidR="00027E9B" w:rsidRPr="00027E9B" w:rsidRDefault="00027E9B" w:rsidP="00027E9B">
            <w:pPr>
              <w:spacing w:after="120"/>
              <w:jc w:val="center"/>
              <w:rPr>
                <w:color w:val="010000"/>
              </w:rPr>
            </w:pPr>
            <w:r w:rsidRPr="00027E9B">
              <w:rPr>
                <w:color w:val="010000"/>
                <w:szCs w:val="18"/>
              </w:rPr>
              <w:t xml:space="preserve">Üye </w:t>
            </w:r>
          </w:p>
          <w:p w:rsidR="00027E9B" w:rsidRPr="00027E9B" w:rsidRDefault="00027E9B" w:rsidP="00027E9B">
            <w:pPr>
              <w:spacing w:after="120"/>
              <w:jc w:val="center"/>
              <w:rPr>
                <w:color w:val="010000"/>
              </w:rPr>
            </w:pPr>
            <w:proofErr w:type="spellStart"/>
            <w:r w:rsidRPr="00027E9B">
              <w:rPr>
                <w:color w:val="010000"/>
                <w:szCs w:val="18"/>
              </w:rPr>
              <w:t>Sacit</w:t>
            </w:r>
            <w:proofErr w:type="spellEnd"/>
            <w:r w:rsidRPr="00027E9B">
              <w:rPr>
                <w:color w:val="010000"/>
                <w:szCs w:val="18"/>
              </w:rPr>
              <w:t xml:space="preserve"> ADALI</w:t>
            </w:r>
          </w:p>
        </w:tc>
      </w:tr>
    </w:tbl>
    <w:p w:rsidR="00027E9B" w:rsidRPr="00027E9B" w:rsidRDefault="00027E9B" w:rsidP="00027E9B">
      <w:pPr>
        <w:spacing w:after="200"/>
        <w:ind w:left="283" w:right="283" w:firstLine="709"/>
        <w:jc w:val="both"/>
        <w:rPr>
          <w:color w:val="010000"/>
        </w:rPr>
      </w:pPr>
    </w:p>
    <w:tbl>
      <w:tblPr>
        <w:tblW w:w="5000" w:type="pct"/>
        <w:jc w:val="center"/>
        <w:tblCellMar>
          <w:left w:w="70" w:type="dxa"/>
          <w:right w:w="70" w:type="dxa"/>
        </w:tblCellMar>
        <w:tblLook w:val="04A0" w:firstRow="1" w:lastRow="0" w:firstColumn="1" w:lastColumn="0" w:noHBand="0" w:noVBand="1"/>
      </w:tblPr>
      <w:tblGrid>
        <w:gridCol w:w="3488"/>
        <w:gridCol w:w="3216"/>
        <w:gridCol w:w="3216"/>
      </w:tblGrid>
      <w:tr w:rsidR="00027E9B" w:rsidRPr="00027E9B" w:rsidTr="00027E9B">
        <w:trPr>
          <w:jc w:val="center"/>
        </w:trPr>
        <w:tc>
          <w:tcPr>
            <w:tcW w:w="1758" w:type="pct"/>
            <w:hideMark/>
          </w:tcPr>
          <w:p w:rsidR="00027E9B" w:rsidRPr="00027E9B" w:rsidRDefault="00027E9B" w:rsidP="00027E9B">
            <w:pPr>
              <w:spacing w:after="120"/>
              <w:jc w:val="center"/>
              <w:rPr>
                <w:color w:val="010000"/>
              </w:rPr>
            </w:pPr>
            <w:r w:rsidRPr="00027E9B">
              <w:rPr>
                <w:color w:val="010000"/>
                <w:szCs w:val="18"/>
              </w:rPr>
              <w:t>Üye</w:t>
            </w:r>
          </w:p>
          <w:p w:rsidR="00027E9B" w:rsidRPr="00027E9B" w:rsidRDefault="00027E9B" w:rsidP="00027E9B">
            <w:pPr>
              <w:spacing w:after="120"/>
              <w:jc w:val="center"/>
              <w:rPr>
                <w:color w:val="010000"/>
              </w:rPr>
            </w:pPr>
            <w:r w:rsidRPr="00027E9B">
              <w:rPr>
                <w:color w:val="010000"/>
                <w:szCs w:val="18"/>
              </w:rPr>
              <w:t>Fulya KANTARCIOĞLU</w:t>
            </w:r>
          </w:p>
        </w:tc>
        <w:tc>
          <w:tcPr>
            <w:tcW w:w="1621" w:type="pct"/>
            <w:hideMark/>
          </w:tcPr>
          <w:p w:rsidR="00027E9B" w:rsidRPr="00027E9B" w:rsidRDefault="00027E9B" w:rsidP="00027E9B">
            <w:pPr>
              <w:spacing w:after="120"/>
              <w:jc w:val="center"/>
              <w:rPr>
                <w:color w:val="010000"/>
              </w:rPr>
            </w:pPr>
            <w:r w:rsidRPr="00027E9B">
              <w:rPr>
                <w:color w:val="010000"/>
                <w:szCs w:val="18"/>
              </w:rPr>
              <w:t xml:space="preserve">Üye </w:t>
            </w:r>
          </w:p>
          <w:p w:rsidR="00027E9B" w:rsidRPr="00027E9B" w:rsidRDefault="00027E9B" w:rsidP="00027E9B">
            <w:pPr>
              <w:spacing w:after="120"/>
              <w:jc w:val="center"/>
              <w:rPr>
                <w:color w:val="010000"/>
              </w:rPr>
            </w:pPr>
            <w:r w:rsidRPr="00027E9B">
              <w:rPr>
                <w:color w:val="010000"/>
                <w:szCs w:val="18"/>
              </w:rPr>
              <w:t>Ahmet AKYALÇIN</w:t>
            </w:r>
          </w:p>
        </w:tc>
        <w:tc>
          <w:tcPr>
            <w:tcW w:w="1621" w:type="pct"/>
            <w:hideMark/>
          </w:tcPr>
          <w:p w:rsidR="00027E9B" w:rsidRPr="00027E9B" w:rsidRDefault="00027E9B" w:rsidP="00027E9B">
            <w:pPr>
              <w:spacing w:after="120"/>
              <w:jc w:val="center"/>
              <w:rPr>
                <w:color w:val="010000"/>
              </w:rPr>
            </w:pPr>
            <w:r w:rsidRPr="00027E9B">
              <w:rPr>
                <w:color w:val="010000"/>
                <w:szCs w:val="18"/>
              </w:rPr>
              <w:t xml:space="preserve">Üye </w:t>
            </w:r>
          </w:p>
          <w:p w:rsidR="00027E9B" w:rsidRPr="00027E9B" w:rsidRDefault="00027E9B" w:rsidP="00027E9B">
            <w:pPr>
              <w:spacing w:after="120"/>
              <w:jc w:val="center"/>
              <w:rPr>
                <w:color w:val="010000"/>
              </w:rPr>
            </w:pPr>
            <w:r w:rsidRPr="00027E9B">
              <w:rPr>
                <w:color w:val="010000"/>
                <w:szCs w:val="18"/>
              </w:rPr>
              <w:t>Mehmet ERTEN</w:t>
            </w:r>
          </w:p>
        </w:tc>
      </w:tr>
    </w:tbl>
    <w:p w:rsidR="00027E9B" w:rsidRPr="00027E9B" w:rsidRDefault="00027E9B" w:rsidP="00027E9B">
      <w:pPr>
        <w:spacing w:after="200"/>
        <w:ind w:left="283" w:right="283" w:firstLine="709"/>
        <w:jc w:val="both"/>
        <w:rPr>
          <w:color w:val="010000"/>
        </w:rPr>
      </w:pPr>
    </w:p>
    <w:tbl>
      <w:tblPr>
        <w:tblW w:w="5000" w:type="pct"/>
        <w:jc w:val="center"/>
        <w:tblCellMar>
          <w:left w:w="70" w:type="dxa"/>
          <w:right w:w="70" w:type="dxa"/>
        </w:tblCellMar>
        <w:tblLook w:val="04A0" w:firstRow="1" w:lastRow="0" w:firstColumn="1" w:lastColumn="0" w:noHBand="0" w:noVBand="1"/>
      </w:tblPr>
      <w:tblGrid>
        <w:gridCol w:w="3308"/>
        <w:gridCol w:w="3307"/>
        <w:gridCol w:w="3305"/>
      </w:tblGrid>
      <w:tr w:rsidR="00027E9B" w:rsidRPr="00027E9B" w:rsidTr="00027E9B">
        <w:trPr>
          <w:jc w:val="center"/>
        </w:trPr>
        <w:tc>
          <w:tcPr>
            <w:tcW w:w="1667" w:type="pct"/>
            <w:hideMark/>
          </w:tcPr>
          <w:p w:rsidR="00027E9B" w:rsidRPr="00027E9B" w:rsidRDefault="00027E9B" w:rsidP="00027E9B">
            <w:pPr>
              <w:spacing w:after="120"/>
              <w:jc w:val="center"/>
              <w:rPr>
                <w:color w:val="010000"/>
              </w:rPr>
            </w:pPr>
            <w:r w:rsidRPr="00027E9B">
              <w:rPr>
                <w:color w:val="010000"/>
                <w:szCs w:val="18"/>
              </w:rPr>
              <w:t>Üye</w:t>
            </w:r>
            <w:r w:rsidRPr="00027E9B">
              <w:rPr>
                <w:color w:val="010000"/>
                <w:szCs w:val="18"/>
              </w:rPr>
              <w:t xml:space="preserve"> </w:t>
            </w:r>
          </w:p>
          <w:p w:rsidR="00027E9B" w:rsidRPr="00027E9B" w:rsidRDefault="00027E9B" w:rsidP="00027E9B">
            <w:pPr>
              <w:spacing w:after="120"/>
              <w:jc w:val="center"/>
              <w:rPr>
                <w:color w:val="010000"/>
              </w:rPr>
            </w:pPr>
            <w:r w:rsidRPr="00027E9B">
              <w:rPr>
                <w:color w:val="010000"/>
                <w:szCs w:val="18"/>
              </w:rPr>
              <w:t>A. Necmi ÖZLER</w:t>
            </w:r>
          </w:p>
        </w:tc>
        <w:tc>
          <w:tcPr>
            <w:tcW w:w="1667" w:type="pct"/>
            <w:hideMark/>
          </w:tcPr>
          <w:p w:rsidR="00027E9B" w:rsidRPr="00027E9B" w:rsidRDefault="00027E9B" w:rsidP="00027E9B">
            <w:pPr>
              <w:spacing w:after="120"/>
              <w:jc w:val="center"/>
              <w:rPr>
                <w:color w:val="010000"/>
              </w:rPr>
            </w:pPr>
            <w:r w:rsidRPr="00027E9B">
              <w:rPr>
                <w:color w:val="010000"/>
                <w:szCs w:val="18"/>
              </w:rPr>
              <w:t>Üye</w:t>
            </w:r>
          </w:p>
          <w:p w:rsidR="00027E9B" w:rsidRPr="00027E9B" w:rsidRDefault="00027E9B" w:rsidP="00027E9B">
            <w:pPr>
              <w:spacing w:after="120"/>
              <w:jc w:val="center"/>
              <w:rPr>
                <w:color w:val="010000"/>
              </w:rPr>
            </w:pPr>
            <w:r w:rsidRPr="00027E9B">
              <w:rPr>
                <w:color w:val="010000"/>
                <w:szCs w:val="18"/>
              </w:rPr>
              <w:t>Serdar ÖZGÜLDÜR</w:t>
            </w:r>
          </w:p>
        </w:tc>
        <w:tc>
          <w:tcPr>
            <w:tcW w:w="1667" w:type="pct"/>
            <w:hideMark/>
          </w:tcPr>
          <w:p w:rsidR="00027E9B" w:rsidRPr="00027E9B" w:rsidRDefault="00027E9B" w:rsidP="00027E9B">
            <w:pPr>
              <w:spacing w:after="120"/>
              <w:jc w:val="center"/>
              <w:rPr>
                <w:color w:val="010000"/>
              </w:rPr>
            </w:pPr>
            <w:r w:rsidRPr="00027E9B">
              <w:rPr>
                <w:color w:val="010000"/>
                <w:szCs w:val="18"/>
              </w:rPr>
              <w:t xml:space="preserve">Üye </w:t>
            </w:r>
          </w:p>
          <w:p w:rsidR="00027E9B" w:rsidRPr="00027E9B" w:rsidRDefault="00027E9B" w:rsidP="00027E9B">
            <w:pPr>
              <w:spacing w:after="120"/>
              <w:jc w:val="center"/>
              <w:rPr>
                <w:color w:val="010000"/>
              </w:rPr>
            </w:pPr>
            <w:r w:rsidRPr="00027E9B">
              <w:rPr>
                <w:color w:val="010000"/>
                <w:szCs w:val="18"/>
              </w:rPr>
              <w:t>Şevket APALAK</w:t>
            </w:r>
          </w:p>
        </w:tc>
      </w:tr>
    </w:tbl>
    <w:p w:rsidR="00027E9B" w:rsidRPr="00027E9B" w:rsidRDefault="00027E9B" w:rsidP="00027E9B">
      <w:pPr>
        <w:spacing w:after="200"/>
        <w:ind w:left="283" w:right="283" w:firstLine="709"/>
        <w:jc w:val="both"/>
        <w:rPr>
          <w:color w:val="010000"/>
        </w:rPr>
      </w:pPr>
    </w:p>
    <w:tbl>
      <w:tblPr>
        <w:tblW w:w="5000" w:type="pct"/>
        <w:jc w:val="center"/>
        <w:tblCellMar>
          <w:left w:w="70" w:type="dxa"/>
          <w:right w:w="70" w:type="dxa"/>
        </w:tblCellMar>
        <w:tblLook w:val="04A0" w:firstRow="1" w:lastRow="0" w:firstColumn="1" w:lastColumn="0" w:noHBand="0" w:noVBand="1"/>
      </w:tblPr>
      <w:tblGrid>
        <w:gridCol w:w="4960"/>
        <w:gridCol w:w="4960"/>
      </w:tblGrid>
      <w:tr w:rsidR="00027E9B" w:rsidRPr="00027E9B" w:rsidTr="00027E9B">
        <w:trPr>
          <w:jc w:val="center"/>
        </w:trPr>
        <w:tc>
          <w:tcPr>
            <w:tcW w:w="2500" w:type="pct"/>
            <w:hideMark/>
          </w:tcPr>
          <w:p w:rsidR="00027E9B" w:rsidRPr="00027E9B" w:rsidRDefault="00027E9B" w:rsidP="00027E9B">
            <w:pPr>
              <w:spacing w:after="120"/>
              <w:jc w:val="center"/>
              <w:rPr>
                <w:color w:val="010000"/>
              </w:rPr>
            </w:pPr>
            <w:r w:rsidRPr="00027E9B">
              <w:rPr>
                <w:color w:val="010000"/>
                <w:szCs w:val="18"/>
              </w:rPr>
              <w:t xml:space="preserve">Üye </w:t>
            </w:r>
          </w:p>
          <w:p w:rsidR="00027E9B" w:rsidRPr="00027E9B" w:rsidRDefault="00027E9B" w:rsidP="00027E9B">
            <w:pPr>
              <w:spacing w:after="120"/>
              <w:jc w:val="center"/>
              <w:rPr>
                <w:color w:val="010000"/>
              </w:rPr>
            </w:pPr>
            <w:proofErr w:type="spellStart"/>
            <w:r w:rsidRPr="00027E9B">
              <w:rPr>
                <w:color w:val="010000"/>
                <w:szCs w:val="18"/>
              </w:rPr>
              <w:t>Serruh</w:t>
            </w:r>
            <w:proofErr w:type="spellEnd"/>
            <w:r w:rsidRPr="00027E9B">
              <w:rPr>
                <w:color w:val="010000"/>
                <w:szCs w:val="18"/>
              </w:rPr>
              <w:t xml:space="preserve"> KALELİ</w:t>
            </w:r>
          </w:p>
        </w:tc>
        <w:tc>
          <w:tcPr>
            <w:tcW w:w="2500" w:type="pct"/>
            <w:hideMark/>
          </w:tcPr>
          <w:p w:rsidR="00027E9B" w:rsidRPr="00027E9B" w:rsidRDefault="00027E9B" w:rsidP="00027E9B">
            <w:pPr>
              <w:spacing w:after="120"/>
              <w:jc w:val="center"/>
              <w:rPr>
                <w:color w:val="010000"/>
              </w:rPr>
            </w:pPr>
            <w:r w:rsidRPr="00027E9B">
              <w:rPr>
                <w:color w:val="010000"/>
                <w:szCs w:val="18"/>
              </w:rPr>
              <w:t>Üye</w:t>
            </w:r>
          </w:p>
          <w:p w:rsidR="00027E9B" w:rsidRPr="00027E9B" w:rsidRDefault="00027E9B" w:rsidP="00027E9B">
            <w:pPr>
              <w:spacing w:after="120"/>
              <w:jc w:val="center"/>
              <w:rPr>
                <w:color w:val="010000"/>
              </w:rPr>
            </w:pPr>
            <w:r w:rsidRPr="00027E9B">
              <w:rPr>
                <w:color w:val="010000"/>
                <w:szCs w:val="18"/>
              </w:rPr>
              <w:t xml:space="preserve">Osman </w:t>
            </w:r>
            <w:proofErr w:type="spellStart"/>
            <w:r w:rsidRPr="00027E9B">
              <w:rPr>
                <w:color w:val="010000"/>
                <w:szCs w:val="18"/>
              </w:rPr>
              <w:t>Alifeyyaz</w:t>
            </w:r>
            <w:proofErr w:type="spellEnd"/>
            <w:r w:rsidRPr="00027E9B">
              <w:rPr>
                <w:color w:val="010000"/>
                <w:szCs w:val="18"/>
              </w:rPr>
              <w:t xml:space="preserve"> PAKSÜT</w:t>
            </w:r>
          </w:p>
        </w:tc>
      </w:tr>
    </w:tbl>
    <w:p w:rsidR="00027E9B" w:rsidRDefault="00027E9B" w:rsidP="00027E9B">
      <w:pPr>
        <w:spacing w:after="200"/>
        <w:ind w:left="283" w:right="283" w:firstLine="709"/>
        <w:jc w:val="both"/>
        <w:rPr>
          <w:b/>
          <w:color w:val="010000"/>
          <w:szCs w:val="18"/>
        </w:rPr>
      </w:pPr>
    </w:p>
    <w:p w:rsidR="00027E9B" w:rsidRPr="00027E9B" w:rsidRDefault="00027E9B" w:rsidP="00027E9B">
      <w:pPr>
        <w:spacing w:after="200"/>
        <w:ind w:left="283" w:right="283" w:firstLine="709"/>
        <w:jc w:val="center"/>
        <w:rPr>
          <w:color w:val="010000"/>
        </w:rPr>
      </w:pPr>
      <w:r w:rsidRPr="00027E9B">
        <w:rPr>
          <w:b/>
          <w:color w:val="010000"/>
          <w:szCs w:val="18"/>
        </w:rPr>
        <w:t>DEĞİŞİK ve EK GEREKÇE</w:t>
      </w:r>
    </w:p>
    <w:p w:rsidR="00027E9B" w:rsidRPr="00027E9B" w:rsidRDefault="00027E9B" w:rsidP="00027E9B">
      <w:pPr>
        <w:spacing w:after="200"/>
        <w:ind w:left="283" w:right="283" w:firstLine="709"/>
        <w:jc w:val="both"/>
        <w:rPr>
          <w:color w:val="010000"/>
        </w:rPr>
      </w:pPr>
      <w:r w:rsidRPr="00027E9B">
        <w:rPr>
          <w:color w:val="010000"/>
          <w:szCs w:val="18"/>
        </w:rPr>
        <w:t xml:space="preserve"> </w:t>
      </w:r>
      <w:r w:rsidRPr="00027E9B">
        <w:rPr>
          <w:color w:val="010000"/>
          <w:szCs w:val="18"/>
        </w:rPr>
        <w:t xml:space="preserve">1 - Sağduyu Partisi'nin 2002 yılı </w:t>
      </w:r>
      <w:proofErr w:type="spellStart"/>
      <w:r w:rsidRPr="00027E9B">
        <w:rPr>
          <w:color w:val="010000"/>
          <w:szCs w:val="18"/>
        </w:rPr>
        <w:t>kesinhesabının</w:t>
      </w:r>
      <w:proofErr w:type="spellEnd"/>
      <w:r w:rsidRPr="00027E9B">
        <w:rPr>
          <w:color w:val="010000"/>
          <w:szCs w:val="18"/>
        </w:rPr>
        <w:t xml:space="preserve"> incelenmesi sırasında, 2820 sayılı Siyasî Partiler Kanunu'nun 74. maddesinin ikinci fıkrası gereğince verilmesi gereken bilgi ve belgeleri göndermesi için, Anayasa Mahkemesi'nce adı geçen Parti'ye 22.10.2003 tarihinde bildirimde bulunulduğu, bu lazımeyi yerine getirmediği gerekçesiyle de Anayasa Mahkemesi'nin 20.7.2005 tarih ve E.2005/1 (SP-İhtar), K.2005/2 sayılı kararıyla, kararın tebliğ tarihinden itibaren altı ay içinde bu aykırılığı gidermesi için, 2820 sayılı Kanun'un 104. maddesi gereğince Parti'ye ihtarda bulunulduğu, Parti Genel Başkanı'nın 15.11.2005 tarihli yazı ekinde istenen bilgi ve belgeleri sunduğu, ayrıca yazı içeriğinde, söz konusu 2002 yılı </w:t>
      </w:r>
      <w:proofErr w:type="spellStart"/>
      <w:r w:rsidRPr="00027E9B">
        <w:rPr>
          <w:color w:val="010000"/>
          <w:szCs w:val="18"/>
        </w:rPr>
        <w:t>kesinhesabıyla</w:t>
      </w:r>
      <w:proofErr w:type="spellEnd"/>
      <w:r w:rsidRPr="00027E9B">
        <w:rPr>
          <w:color w:val="010000"/>
          <w:szCs w:val="18"/>
        </w:rPr>
        <w:t xml:space="preserve"> ilgili Anayasa Mahkemesi'nce istenen bilgi ve belgelerin Yargıtay Cumhuriyet Başsavcılığı aracılığıyla Anayasa Mahkemesi'ne gönderilmek üzere Yargıtay Cumhuriyet Başsavcılığı'na 15.12.2003 tarih ve 3279 evrak kayıt numarasıyla teslim edildiğinin, dolayısıyla karar gereğinin yerine getirildiğinin, buna karşın Parti'ye Anayasa Mahkemesi'nce ihtar cezası verildiğinin belirtildiği anlaşılmaktadır.</w:t>
      </w:r>
    </w:p>
    <w:p w:rsidR="00027E9B" w:rsidRPr="00027E9B" w:rsidRDefault="00027E9B" w:rsidP="00027E9B">
      <w:pPr>
        <w:spacing w:after="200"/>
        <w:ind w:left="283" w:right="283" w:firstLine="709"/>
        <w:jc w:val="both"/>
        <w:rPr>
          <w:color w:val="010000"/>
        </w:rPr>
      </w:pPr>
      <w:r w:rsidRPr="00027E9B">
        <w:rPr>
          <w:color w:val="010000"/>
          <w:szCs w:val="18"/>
        </w:rPr>
        <w:lastRenderedPageBreak/>
        <w:t xml:space="preserve"> </w:t>
      </w:r>
      <w:proofErr w:type="gramStart"/>
      <w:r w:rsidRPr="00027E9B">
        <w:rPr>
          <w:color w:val="010000"/>
          <w:szCs w:val="18"/>
        </w:rPr>
        <w:t>2 -</w:t>
      </w:r>
      <w:proofErr w:type="gramEnd"/>
      <w:r w:rsidRPr="00027E9B">
        <w:rPr>
          <w:color w:val="010000"/>
          <w:szCs w:val="18"/>
        </w:rPr>
        <w:t xml:space="preserve"> Söz konusu yazı içeriğinden, Parti'nin kendisine düşen vecibeye yerine getirmesine karşın, Anayasa Mahkemesi'nce Parti'ye ihtar verildiği değerlendirilmesinde bulunulduğu görülmektedir. 2820 sayılı Siyasî Partiler Kanunu'nun 74. maddesinin ikinci fıkrası uyarınca, karara bağlanarak birleştirilmiş bulunan </w:t>
      </w:r>
      <w:proofErr w:type="spellStart"/>
      <w:r w:rsidRPr="00027E9B">
        <w:rPr>
          <w:color w:val="010000"/>
          <w:szCs w:val="18"/>
        </w:rPr>
        <w:t>kesinhesap</w:t>
      </w:r>
      <w:proofErr w:type="spellEnd"/>
      <w:r w:rsidRPr="00027E9B">
        <w:rPr>
          <w:color w:val="010000"/>
          <w:szCs w:val="18"/>
        </w:rPr>
        <w:t xml:space="preserve"> ile Parti merkez ve bağlı </w:t>
      </w:r>
      <w:proofErr w:type="spellStart"/>
      <w:r w:rsidRPr="00027E9B">
        <w:rPr>
          <w:color w:val="010000"/>
          <w:szCs w:val="18"/>
        </w:rPr>
        <w:t>ilçeleride</w:t>
      </w:r>
      <w:proofErr w:type="spellEnd"/>
      <w:r w:rsidRPr="00027E9B">
        <w:rPr>
          <w:color w:val="010000"/>
          <w:szCs w:val="18"/>
        </w:rPr>
        <w:t xml:space="preserve"> kapsayan iller teşkilatının </w:t>
      </w:r>
      <w:proofErr w:type="spellStart"/>
      <w:r w:rsidRPr="00027E9B">
        <w:rPr>
          <w:color w:val="010000"/>
          <w:szCs w:val="18"/>
        </w:rPr>
        <w:t>kesinhesaplarının</w:t>
      </w:r>
      <w:proofErr w:type="spellEnd"/>
      <w:r w:rsidRPr="00027E9B">
        <w:rPr>
          <w:color w:val="010000"/>
          <w:szCs w:val="18"/>
        </w:rPr>
        <w:t xml:space="preserve"> onaylı birer örneğinin, ilgili siyasî partinin genel başkanları tarafından, </w:t>
      </w:r>
      <w:proofErr w:type="gramStart"/>
      <w:r w:rsidRPr="00027E9B">
        <w:rPr>
          <w:color w:val="010000"/>
          <w:szCs w:val="18"/>
        </w:rPr>
        <w:t>Haziran</w:t>
      </w:r>
      <w:proofErr w:type="gramEnd"/>
      <w:r w:rsidRPr="00027E9B">
        <w:rPr>
          <w:color w:val="010000"/>
          <w:szCs w:val="18"/>
        </w:rPr>
        <w:t xml:space="preserve"> ayı sonuna kadar Anayasa Mahkemesi'ne ve bilgi içinde Yargıtay Cumhuriyet Başsavcılığı'na verilmesi zorunlu bulunmaktadır. İnceleme konusu dosyada, Anayasa Mahkemesi'nin 22.10.2003 tarihli yazısı ile Parti'ye ilgili noksanları ikmal etmesi için 30 gün süre verilmesinden sonra, 15.11.2005 tarihine kadar istenen bilgi ve belgelerin Sağduyu Partisi tarafından Anayasa Mahkemesi'ne verilmediği hususu tartışmasızdır. Parti, 22.10.2003 tarihli bildirim kararından sonra, 15.12.2003 tarihinde istenen tüm bilgi ve belgelerin Anayasa Mahkemesi'ne iletilmek üzere Yargıtay Cumhuriyet Başsavcılığı'na verildiğini belirtmektedir. Dosyada bu iddiayı teyit eder mahiyette Yargıtay Cumhuriyet Başsavcılığı'nın bir kabul beyanı yer almamaktadır. Bununla beraber, söz konusu iddianın doğruluğu kabul edilse dahi, 2820 sayılı Kanun'un 74/2. maddesinin açıklığı karşısında bir başka makamı aracı kılmak suretiyle Anayasa Mahkemesi'ne bilgi ve belge sunma gibi bir yönteme hukukilik atfedebilmeye de </w:t>
      </w:r>
      <w:proofErr w:type="gramStart"/>
      <w:r w:rsidRPr="00027E9B">
        <w:rPr>
          <w:color w:val="010000"/>
          <w:szCs w:val="18"/>
        </w:rPr>
        <w:t>imkan</w:t>
      </w:r>
      <w:proofErr w:type="gramEnd"/>
      <w:r w:rsidRPr="00027E9B">
        <w:rPr>
          <w:color w:val="010000"/>
          <w:szCs w:val="18"/>
        </w:rPr>
        <w:t xml:space="preserve"> olamayacağı kuşkusuzdur. </w:t>
      </w:r>
      <w:proofErr w:type="spellStart"/>
      <w:r w:rsidRPr="00027E9B">
        <w:rPr>
          <w:color w:val="010000"/>
          <w:szCs w:val="18"/>
        </w:rPr>
        <w:t>Dolayısiyle</w:t>
      </w:r>
      <w:proofErr w:type="spellEnd"/>
      <w:r w:rsidRPr="00027E9B">
        <w:rPr>
          <w:color w:val="010000"/>
          <w:szCs w:val="18"/>
        </w:rPr>
        <w:t xml:space="preserve"> de bu makamın söz konusu bilgi ve belgeleri Anayasa Mahkemesi'ne zamanında göndermemiş olmasının hukuki sonuçlarından Parti'nin lehine bir yorum çıkartılabilmesi mümkün değildir. Parti, Anayasa Mahkemesi'nin 22.10.2003 tarihli kararından sonra, iki nüsha hazırlayacağı bilgi ve belgelerden bir suretini doğrudan Anayasa Mahkemesi'ne göndermeli, bir suretini de bilgi için Yargıtay Cumhuriyet Başsavcılığı'na vermeliydi. </w:t>
      </w:r>
    </w:p>
    <w:p w:rsidR="00027E9B" w:rsidRPr="00027E9B" w:rsidRDefault="00027E9B" w:rsidP="00027E9B">
      <w:pPr>
        <w:spacing w:after="200"/>
        <w:ind w:left="283" w:right="283" w:firstLine="709"/>
        <w:jc w:val="both"/>
        <w:rPr>
          <w:color w:val="010000"/>
        </w:rPr>
      </w:pPr>
      <w:r w:rsidRPr="00027E9B">
        <w:rPr>
          <w:color w:val="010000"/>
          <w:szCs w:val="18"/>
        </w:rPr>
        <w:t xml:space="preserve"> </w:t>
      </w:r>
      <w:proofErr w:type="gramStart"/>
      <w:r w:rsidRPr="00027E9B">
        <w:rPr>
          <w:color w:val="010000"/>
          <w:szCs w:val="18"/>
        </w:rPr>
        <w:t>3 -</w:t>
      </w:r>
      <w:proofErr w:type="gramEnd"/>
      <w:r w:rsidRPr="00027E9B">
        <w:rPr>
          <w:color w:val="010000"/>
          <w:szCs w:val="18"/>
        </w:rPr>
        <w:t xml:space="preserve"> Saptanan bu hukuki tespite bağlı olarak, doğrudan Anayasa Mahkemesi'ne gönderilmeyen bilgi ve belgelerden Yasa'nın açık düzenlemesine aykırı biçimde, Parti'nin aracı kıldığı Yargıtay Cumhuriyet Başsavcılığı'nın sorumlu tutulabilmesi mümkün bulunmadığından; Anayasa Mahkemesi'nin 20.7.2005 tarihli ihtar kararının geri alınmasını gerektirir bir hukuki nedenin mevcut olmadığı görülmektedir. Belirtilen bu açıklama çerçevesinde, söz konusu gerekçenin Sağduyu Partisi'nin 2002 yılı </w:t>
      </w:r>
      <w:proofErr w:type="spellStart"/>
      <w:r w:rsidRPr="00027E9B">
        <w:rPr>
          <w:color w:val="010000"/>
          <w:szCs w:val="18"/>
        </w:rPr>
        <w:t>kesinhesabının</w:t>
      </w:r>
      <w:proofErr w:type="spellEnd"/>
      <w:r w:rsidRPr="00027E9B">
        <w:rPr>
          <w:color w:val="010000"/>
          <w:szCs w:val="18"/>
        </w:rPr>
        <w:t xml:space="preserve"> 2820 sayılı Siyasî </w:t>
      </w:r>
      <w:bookmarkStart w:id="0" w:name="_GoBack"/>
      <w:bookmarkEnd w:id="0"/>
      <w:r w:rsidRPr="00027E9B">
        <w:rPr>
          <w:color w:val="010000"/>
          <w:szCs w:val="18"/>
        </w:rPr>
        <w:t xml:space="preserve">Partiler Kanunu'na uygun olduğuna dair Anayasa Mahkemesi'nin bu kararında yer alması gerektiğini değerlendiriyorum. </w:t>
      </w:r>
    </w:p>
    <w:p w:rsidR="00027E9B" w:rsidRPr="00027E9B" w:rsidRDefault="00027E9B" w:rsidP="00027E9B">
      <w:pPr>
        <w:spacing w:after="200"/>
        <w:ind w:left="283" w:right="283" w:firstLine="709"/>
        <w:jc w:val="both"/>
        <w:rPr>
          <w:color w:val="010000"/>
        </w:rPr>
      </w:pP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027E9B" w:rsidRPr="00027E9B" w:rsidTr="00027E9B">
        <w:trPr>
          <w:jc w:val="center"/>
        </w:trPr>
        <w:tc>
          <w:tcPr>
            <w:tcW w:w="1000" w:type="pct"/>
            <w:shd w:val="clear" w:color="auto" w:fill="auto"/>
          </w:tcPr>
          <w:p w:rsidR="00027E9B" w:rsidRPr="00027E9B" w:rsidRDefault="00027E9B" w:rsidP="00027E9B">
            <w:pPr>
              <w:spacing w:after="120"/>
              <w:jc w:val="center"/>
              <w:rPr>
                <w:color w:val="010000"/>
              </w:rPr>
            </w:pPr>
          </w:p>
        </w:tc>
        <w:tc>
          <w:tcPr>
            <w:tcW w:w="1000" w:type="pct"/>
            <w:shd w:val="clear" w:color="auto" w:fill="auto"/>
          </w:tcPr>
          <w:p w:rsidR="00027E9B" w:rsidRPr="00027E9B" w:rsidRDefault="00027E9B" w:rsidP="00027E9B">
            <w:pPr>
              <w:spacing w:after="120"/>
              <w:jc w:val="center"/>
              <w:rPr>
                <w:color w:val="010000"/>
              </w:rPr>
            </w:pPr>
          </w:p>
        </w:tc>
        <w:tc>
          <w:tcPr>
            <w:tcW w:w="1000" w:type="pct"/>
            <w:shd w:val="clear" w:color="auto" w:fill="auto"/>
          </w:tcPr>
          <w:p w:rsidR="00027E9B" w:rsidRPr="00027E9B" w:rsidRDefault="00027E9B" w:rsidP="00027E9B">
            <w:pPr>
              <w:spacing w:after="120"/>
              <w:jc w:val="center"/>
              <w:rPr>
                <w:color w:val="010000"/>
              </w:rPr>
            </w:pPr>
          </w:p>
        </w:tc>
        <w:tc>
          <w:tcPr>
            <w:tcW w:w="1000" w:type="pct"/>
            <w:shd w:val="clear" w:color="auto" w:fill="auto"/>
          </w:tcPr>
          <w:p w:rsidR="00027E9B" w:rsidRPr="00027E9B" w:rsidRDefault="00027E9B" w:rsidP="00027E9B">
            <w:pPr>
              <w:spacing w:after="120"/>
              <w:jc w:val="center"/>
              <w:rPr>
                <w:color w:val="010000"/>
              </w:rPr>
            </w:pPr>
          </w:p>
        </w:tc>
        <w:tc>
          <w:tcPr>
            <w:tcW w:w="1000" w:type="pct"/>
            <w:shd w:val="clear" w:color="auto" w:fill="auto"/>
          </w:tcPr>
          <w:p w:rsidR="00027E9B" w:rsidRPr="00027E9B" w:rsidRDefault="00027E9B" w:rsidP="00027E9B">
            <w:pPr>
              <w:spacing w:after="120"/>
              <w:jc w:val="center"/>
              <w:rPr>
                <w:color w:val="010000"/>
              </w:rPr>
            </w:pPr>
            <w:r w:rsidRPr="00027E9B">
              <w:rPr>
                <w:color w:val="010000"/>
              </w:rPr>
              <w:t>Üye</w:t>
            </w:r>
          </w:p>
          <w:p w:rsidR="00027E9B" w:rsidRPr="00027E9B" w:rsidRDefault="00027E9B" w:rsidP="00027E9B">
            <w:pPr>
              <w:spacing w:after="120"/>
              <w:jc w:val="center"/>
              <w:rPr>
                <w:color w:val="010000"/>
              </w:rPr>
            </w:pPr>
            <w:r w:rsidRPr="00027E9B">
              <w:rPr>
                <w:color w:val="010000"/>
              </w:rPr>
              <w:t xml:space="preserve"> Serdar ÖZGÜLDÜR</w:t>
            </w:r>
          </w:p>
          <w:p w:rsidR="00027E9B" w:rsidRPr="00027E9B" w:rsidRDefault="00027E9B" w:rsidP="00027E9B">
            <w:pPr>
              <w:spacing w:after="120"/>
              <w:jc w:val="center"/>
              <w:rPr>
                <w:color w:val="010000"/>
              </w:rPr>
            </w:pPr>
          </w:p>
        </w:tc>
      </w:tr>
    </w:tbl>
    <w:p w:rsidR="00027E9B" w:rsidRPr="00027E9B" w:rsidRDefault="00027E9B" w:rsidP="00027E9B">
      <w:pPr>
        <w:spacing w:after="200"/>
        <w:ind w:left="283" w:right="283" w:firstLine="709"/>
        <w:jc w:val="both"/>
        <w:rPr>
          <w:color w:val="010000"/>
        </w:rPr>
      </w:pPr>
    </w:p>
    <w:sectPr w:rsidR="00027E9B" w:rsidRPr="00027E9B" w:rsidSect="00027E9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05A" w:rsidRDefault="001F305A" w:rsidP="00027E9B">
      <w:r>
        <w:separator/>
      </w:r>
    </w:p>
  </w:endnote>
  <w:endnote w:type="continuationSeparator" w:id="0">
    <w:p w:rsidR="001F305A" w:rsidRDefault="001F305A" w:rsidP="0002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E9B" w:rsidRDefault="00027E9B" w:rsidP="001F222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27E9B" w:rsidRDefault="00027E9B" w:rsidP="00027E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E9B" w:rsidRPr="00027E9B" w:rsidRDefault="00027E9B" w:rsidP="001F2227">
    <w:pPr>
      <w:pStyle w:val="AltBilgi"/>
      <w:framePr w:wrap="around" w:vAnchor="text" w:hAnchor="margin" w:xAlign="right" w:y="1"/>
      <w:rPr>
        <w:rStyle w:val="SayfaNumaras"/>
      </w:rPr>
    </w:pPr>
    <w:r w:rsidRPr="00027E9B">
      <w:rPr>
        <w:rStyle w:val="SayfaNumaras"/>
      </w:rPr>
      <w:fldChar w:fldCharType="begin"/>
    </w:r>
    <w:r w:rsidRPr="00027E9B">
      <w:rPr>
        <w:rStyle w:val="SayfaNumaras"/>
      </w:rPr>
      <w:instrText xml:space="preserve"> PAGE </w:instrText>
    </w:r>
    <w:r w:rsidRPr="00027E9B">
      <w:rPr>
        <w:rStyle w:val="SayfaNumaras"/>
      </w:rPr>
      <w:fldChar w:fldCharType="separate"/>
    </w:r>
    <w:r w:rsidRPr="00027E9B">
      <w:rPr>
        <w:rStyle w:val="SayfaNumaras"/>
        <w:noProof/>
      </w:rPr>
      <w:t>1</w:t>
    </w:r>
    <w:r w:rsidRPr="00027E9B">
      <w:rPr>
        <w:rStyle w:val="SayfaNumaras"/>
      </w:rPr>
      <w:fldChar w:fldCharType="end"/>
    </w:r>
  </w:p>
  <w:p w:rsidR="00027E9B" w:rsidRDefault="00027E9B" w:rsidP="00027E9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05A" w:rsidRDefault="001F305A" w:rsidP="00027E9B">
      <w:r>
        <w:separator/>
      </w:r>
    </w:p>
  </w:footnote>
  <w:footnote w:type="continuationSeparator" w:id="0">
    <w:p w:rsidR="001F305A" w:rsidRDefault="001F305A" w:rsidP="0002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E9B" w:rsidRPr="00027E9B" w:rsidRDefault="00027E9B" w:rsidP="00027E9B">
    <w:pPr>
      <w:pStyle w:val="stBilgi"/>
      <w:rPr>
        <w:b/>
      </w:rPr>
    </w:pPr>
    <w:r w:rsidRPr="00027E9B">
      <w:rPr>
        <w:b/>
      </w:rPr>
      <w:t>Esas Sayısı:2003/16 (Siyasî Parti Malî Denetimi)</w:t>
    </w:r>
  </w:p>
  <w:p w:rsidR="00027E9B" w:rsidRDefault="00027E9B" w:rsidP="00027E9B">
    <w:pPr>
      <w:pStyle w:val="stBilgi"/>
      <w:rPr>
        <w:b/>
      </w:rPr>
    </w:pPr>
    <w:r>
      <w:rPr>
        <w:b/>
      </w:rPr>
      <w:t>Karar Sayısı:2005/23</w:t>
    </w:r>
  </w:p>
  <w:p w:rsidR="00027E9B" w:rsidRPr="00027E9B" w:rsidRDefault="00027E9B" w:rsidP="00027E9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9B"/>
    <w:rsid w:val="00027E9B"/>
    <w:rsid w:val="001F305A"/>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6E74"/>
  <w15:chartTrackingRefBased/>
  <w15:docId w15:val="{90572C40-B266-4AEF-B577-C574D834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E9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2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7E9B"/>
    <w:pPr>
      <w:tabs>
        <w:tab w:val="center" w:pos="4536"/>
        <w:tab w:val="right" w:pos="9072"/>
      </w:tabs>
    </w:pPr>
  </w:style>
  <w:style w:type="character" w:customStyle="1" w:styleId="stBilgiChar">
    <w:name w:val="Üst Bilgi Char"/>
    <w:basedOn w:val="VarsaylanParagrafYazTipi"/>
    <w:link w:val="stBilgi"/>
    <w:uiPriority w:val="99"/>
    <w:rsid w:val="00027E9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27E9B"/>
    <w:pPr>
      <w:tabs>
        <w:tab w:val="center" w:pos="4536"/>
        <w:tab w:val="right" w:pos="9072"/>
      </w:tabs>
    </w:pPr>
  </w:style>
  <w:style w:type="character" w:customStyle="1" w:styleId="AltBilgiChar">
    <w:name w:val="Alt Bilgi Char"/>
    <w:basedOn w:val="VarsaylanParagrafYazTipi"/>
    <w:link w:val="AltBilgi"/>
    <w:uiPriority w:val="99"/>
    <w:rsid w:val="00027E9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2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2020-06-14T18:54:00Z</dcterms:created>
  <dcterms:modified xsi:type="dcterms:W3CDTF">2020-06-14T18:55:00Z</dcterms:modified>
</cp:coreProperties>
</file>