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BE3" w:rsidRDefault="00B27BE3" w:rsidP="00B27BE3">
      <w:pPr>
        <w:pStyle w:val="NormalWeb"/>
        <w:spacing w:before="0" w:beforeAutospacing="0" w:after="200" w:afterAutospacing="0"/>
        <w:ind w:left="283" w:right="283"/>
        <w:jc w:val="center"/>
        <w:rPr>
          <w:b/>
          <w:bCs/>
          <w:caps/>
          <w:color w:val="010000"/>
        </w:rPr>
      </w:pPr>
      <w:r w:rsidRPr="00B27BE3">
        <w:rPr>
          <w:b/>
          <w:bCs/>
          <w:caps/>
          <w:color w:val="010000"/>
        </w:rPr>
        <w:t>ANAYASA MAHKEMESİ KARARI</w:t>
      </w:r>
    </w:p>
    <w:p w:rsidR="00B27BE3" w:rsidRPr="00B27BE3" w:rsidRDefault="00B27BE3" w:rsidP="00B27BE3">
      <w:pPr>
        <w:pStyle w:val="NormalWeb"/>
        <w:spacing w:before="0" w:beforeAutospacing="0" w:after="200" w:afterAutospacing="0"/>
        <w:ind w:left="283" w:right="283" w:firstLine="709"/>
        <w:jc w:val="center"/>
        <w:rPr>
          <w:b/>
          <w:bCs/>
          <w:caps/>
          <w:color w:val="010000"/>
        </w:rPr>
      </w:pPr>
    </w:p>
    <w:p w:rsidR="00B27BE3" w:rsidRDefault="00B27BE3" w:rsidP="00B27BE3">
      <w:pPr>
        <w:rPr>
          <w:b/>
          <w:color w:val="010000"/>
          <w:szCs w:val="27"/>
        </w:rPr>
      </w:pPr>
      <w:r>
        <w:rPr>
          <w:b/>
          <w:color w:val="010000"/>
          <w:szCs w:val="27"/>
        </w:rPr>
        <w:t>Esas Sayısı:1995/2 (Siyasî Parti-İhtar)</w:t>
      </w:r>
    </w:p>
    <w:p w:rsidR="00B27BE3" w:rsidRDefault="00B27BE3" w:rsidP="00B27BE3">
      <w:pPr>
        <w:rPr>
          <w:b/>
          <w:color w:val="010000"/>
          <w:szCs w:val="27"/>
        </w:rPr>
      </w:pPr>
      <w:r>
        <w:rPr>
          <w:b/>
          <w:color w:val="010000"/>
          <w:szCs w:val="27"/>
        </w:rPr>
        <w:t>Karar Sayısı:1995/2</w:t>
      </w:r>
    </w:p>
    <w:p w:rsidR="00B27BE3" w:rsidRDefault="00B27BE3" w:rsidP="00B27BE3">
      <w:pPr>
        <w:rPr>
          <w:b/>
          <w:color w:val="010000"/>
          <w:szCs w:val="27"/>
        </w:rPr>
      </w:pPr>
      <w:r>
        <w:rPr>
          <w:b/>
          <w:color w:val="010000"/>
          <w:szCs w:val="27"/>
        </w:rPr>
        <w:t>Karar Günü:17.10.1995</w:t>
      </w:r>
    </w:p>
    <w:p w:rsidR="00B27BE3" w:rsidRDefault="00B27BE3" w:rsidP="00B27BE3">
      <w:pPr>
        <w:rPr>
          <w:b/>
          <w:color w:val="010000"/>
          <w:szCs w:val="27"/>
        </w:rPr>
      </w:pPr>
      <w:r>
        <w:rPr>
          <w:b/>
          <w:color w:val="010000"/>
          <w:szCs w:val="27"/>
        </w:rPr>
        <w:t xml:space="preserve">R.G. </w:t>
      </w:r>
      <w:proofErr w:type="spellStart"/>
      <w:r>
        <w:rPr>
          <w:b/>
          <w:color w:val="010000"/>
          <w:szCs w:val="27"/>
        </w:rPr>
        <w:t>Tarih-</w:t>
      </w:r>
      <w:proofErr w:type="gramStart"/>
      <w:r>
        <w:rPr>
          <w:b/>
          <w:color w:val="010000"/>
          <w:szCs w:val="27"/>
        </w:rPr>
        <w:t>Sayı:R.G.</w:t>
      </w:r>
      <w:proofErr w:type="gramEnd"/>
      <w:r>
        <w:rPr>
          <w:b/>
          <w:color w:val="010000"/>
          <w:szCs w:val="27"/>
        </w:rPr>
        <w:t>'de</w:t>
      </w:r>
      <w:proofErr w:type="spellEnd"/>
      <w:r>
        <w:rPr>
          <w:b/>
          <w:color w:val="010000"/>
          <w:szCs w:val="27"/>
        </w:rPr>
        <w:t xml:space="preserve"> yayımlanmamıştır. (</w:t>
      </w:r>
      <w:proofErr w:type="spellStart"/>
      <w:r>
        <w:rPr>
          <w:b/>
          <w:color w:val="010000"/>
          <w:szCs w:val="27"/>
        </w:rPr>
        <w:t>Red</w:t>
      </w:r>
      <w:proofErr w:type="spellEnd"/>
      <w:r>
        <w:rPr>
          <w:b/>
          <w:color w:val="010000"/>
          <w:szCs w:val="27"/>
        </w:rPr>
        <w:t>)</w:t>
      </w:r>
    </w:p>
    <w:p w:rsidR="00B27BE3" w:rsidRPr="00B27BE3" w:rsidRDefault="00B27BE3" w:rsidP="00B27BE3">
      <w:pPr>
        <w:rPr>
          <w:b/>
          <w:color w:val="010000"/>
          <w:szCs w:val="27"/>
        </w:rPr>
      </w:pP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İHTAR İSTEMİNDE </w:t>
      </w:r>
      <w:proofErr w:type="gramStart"/>
      <w:r w:rsidRPr="00B27BE3">
        <w:rPr>
          <w:color w:val="010000"/>
          <w:szCs w:val="27"/>
        </w:rPr>
        <w:t>BULUNAN</w:t>
      </w:r>
      <w:r w:rsidRPr="00B27BE3">
        <w:rPr>
          <w:color w:val="010000"/>
          <w:szCs w:val="27"/>
        </w:rPr>
        <w:t xml:space="preserve"> </w:t>
      </w:r>
      <w:r w:rsidRPr="00B27BE3">
        <w:rPr>
          <w:color w:val="010000"/>
          <w:szCs w:val="27"/>
        </w:rPr>
        <w:t>:</w:t>
      </w:r>
      <w:proofErr w:type="gramEnd"/>
      <w:r w:rsidRPr="00B27BE3">
        <w:rPr>
          <w:color w:val="010000"/>
          <w:szCs w:val="27"/>
        </w:rPr>
        <w:t xml:space="preserve"> Yargıtay Cumhuriyet Başsavcılığı</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İHTAR İSTEMİNİN </w:t>
      </w:r>
      <w:proofErr w:type="gramStart"/>
      <w:r w:rsidRPr="00B27BE3">
        <w:rPr>
          <w:color w:val="010000"/>
          <w:szCs w:val="27"/>
        </w:rPr>
        <w:t>KONUSU</w:t>
      </w:r>
      <w:r w:rsidRPr="00B27BE3">
        <w:rPr>
          <w:color w:val="010000"/>
          <w:szCs w:val="27"/>
        </w:rPr>
        <w:t xml:space="preserve"> </w:t>
      </w:r>
      <w:r w:rsidRPr="00B27BE3">
        <w:rPr>
          <w:color w:val="010000"/>
          <w:szCs w:val="27"/>
        </w:rPr>
        <w:t>:</w:t>
      </w:r>
      <w:proofErr w:type="gramEnd"/>
      <w:r w:rsidRPr="00B27BE3">
        <w:rPr>
          <w:color w:val="010000"/>
          <w:szCs w:val="27"/>
        </w:rPr>
        <w:t xml:space="preserve"> 2820 sayılı Siyasî Partiler Yasası'nın 74. maddesindeki yükümlülüğü yasal süresi içerisinde yerine getirmeyen Milliyetçi Hareket Partisi'ne aynı Yasa'nın 104. maddesi uyarınca ihtar kararı verilmesi istemidir.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I- İHTAR İSTEMİNİN GEREKÇESİ</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Yargıtay Cumhuriyet Başsavcılığı'nın 19.7.1995 günlü ve </w:t>
      </w:r>
      <w:proofErr w:type="gramStart"/>
      <w:r w:rsidRPr="00B27BE3">
        <w:rPr>
          <w:color w:val="010000"/>
          <w:szCs w:val="27"/>
        </w:rPr>
        <w:t>SP.II</w:t>
      </w:r>
      <w:proofErr w:type="gramEnd"/>
      <w:r w:rsidRPr="00B27BE3">
        <w:rPr>
          <w:color w:val="010000"/>
          <w:szCs w:val="27"/>
        </w:rPr>
        <w:t xml:space="preserve"> Hz. 1995/67 sayılı başvuru dilekçesinin gerekçe bölümü aynen şöyledir :</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2820 sayılı Siyasi Partiler Yasasının 74. maddesi "Siyasi partilerin genel başkanları, karara bağlanarak birleştirilmiş bulunan </w:t>
      </w:r>
      <w:proofErr w:type="spellStart"/>
      <w:r w:rsidRPr="00B27BE3">
        <w:rPr>
          <w:color w:val="010000"/>
          <w:szCs w:val="27"/>
        </w:rPr>
        <w:t>kesinhesap</w:t>
      </w:r>
      <w:proofErr w:type="spellEnd"/>
      <w:r w:rsidRPr="00B27BE3">
        <w:rPr>
          <w:color w:val="010000"/>
          <w:szCs w:val="27"/>
        </w:rPr>
        <w:t xml:space="preserve"> ile parti merkez ve bağlı ilçeleri de kapsayan iller teşkilatının </w:t>
      </w:r>
      <w:proofErr w:type="spellStart"/>
      <w:r w:rsidRPr="00B27BE3">
        <w:rPr>
          <w:color w:val="010000"/>
          <w:szCs w:val="27"/>
        </w:rPr>
        <w:t>kesinhesaplarının</w:t>
      </w:r>
      <w:proofErr w:type="spellEnd"/>
      <w:r w:rsidRPr="00B27BE3">
        <w:rPr>
          <w:color w:val="010000"/>
          <w:szCs w:val="27"/>
        </w:rPr>
        <w:t xml:space="preserve"> onaylı birer örneğini </w:t>
      </w:r>
      <w:proofErr w:type="gramStart"/>
      <w:r w:rsidRPr="00B27BE3">
        <w:rPr>
          <w:color w:val="010000"/>
          <w:szCs w:val="27"/>
        </w:rPr>
        <w:t>Haziran</w:t>
      </w:r>
      <w:proofErr w:type="gramEnd"/>
      <w:r w:rsidRPr="00B27BE3">
        <w:rPr>
          <w:color w:val="010000"/>
          <w:szCs w:val="27"/>
        </w:rPr>
        <w:t xml:space="preserve"> ayı sonuna kadar Anayasa Mahkemesine ve bilgi için Cumhuriyet Başsavcılığına vermek zorundadırlar." buyurucu hükmünü içermektedir.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Davalı siyasi partinin, 1994 yılı merkez ve bağlı ilçeleri de kapsayan iller teşkilatının </w:t>
      </w:r>
      <w:proofErr w:type="spellStart"/>
      <w:r w:rsidRPr="00B27BE3">
        <w:rPr>
          <w:color w:val="010000"/>
          <w:szCs w:val="27"/>
        </w:rPr>
        <w:t>kesinhesaplarını</w:t>
      </w:r>
      <w:proofErr w:type="spellEnd"/>
      <w:r w:rsidRPr="00B27BE3">
        <w:rPr>
          <w:color w:val="010000"/>
          <w:szCs w:val="27"/>
        </w:rPr>
        <w:t xml:space="preserve"> yasal süresinde ve halen Anayasa Mahkemesine ve bilgi için de Cumhuriyet Başsavcılığımıza vermediği, Anayasa Mahkemesi Başkanlığının 19.7.1995 gün ve 696 sayılı yazıları ile Cumhuriyet Başsavcılığımız Siyasi Partiler Sicil Bürosu'nun 19.7.1995 günü düzenlediği tutanaktan anlaşılmıştır.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Sonuç ve </w:t>
      </w:r>
      <w:proofErr w:type="gramStart"/>
      <w:r w:rsidRPr="00B27BE3">
        <w:rPr>
          <w:color w:val="010000"/>
          <w:szCs w:val="27"/>
        </w:rPr>
        <w:t>İstem :</w:t>
      </w:r>
      <w:proofErr w:type="gramEnd"/>
      <w:r w:rsidRPr="00B27BE3">
        <w:rPr>
          <w:color w:val="010000"/>
          <w:szCs w:val="27"/>
        </w:rPr>
        <w:t xml:space="preserve"> Yasal yükümlülüğünü süresinde ve halen yerine getirmeyen davalı siyasi partiye, Siyasi Partiler Yasasının 104. maddesi uyarınca ihtar kararı verilmesi arz ve talep olunur." </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II- ESASIN İNCELENMESİ</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Yargıtay Cumhuriyet Başsavcılığı'nın başvuru yazısı ile ekleri ve işin esasına ilişkin rapor okunup incelendikten sonra gereği görüşülüp </w:t>
      </w:r>
      <w:proofErr w:type="gramStart"/>
      <w:r w:rsidRPr="00B27BE3">
        <w:rPr>
          <w:color w:val="010000"/>
          <w:szCs w:val="27"/>
        </w:rPr>
        <w:t>düşünüldü :</w:t>
      </w:r>
      <w:proofErr w:type="gramEnd"/>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Siyasî partilerin </w:t>
      </w:r>
      <w:proofErr w:type="spellStart"/>
      <w:r w:rsidRPr="00B27BE3">
        <w:rPr>
          <w:color w:val="010000"/>
          <w:szCs w:val="27"/>
        </w:rPr>
        <w:t>kesinhesapları</w:t>
      </w:r>
      <w:proofErr w:type="spellEnd"/>
      <w:r w:rsidRPr="00B27BE3">
        <w:rPr>
          <w:color w:val="010000"/>
          <w:szCs w:val="27"/>
        </w:rPr>
        <w:t xml:space="preserve"> hakkında 2820 sayılı Siyasî Partiler Kanunu'nun 73. maddesinin üçüncü fıkrasında, "Parti merkezi ve bağlı ilçeleri de kapsamak üzere iller teşkilatı her bütçe yılını izleyen Nisan ayı sonuna kadar, bir evvelki yıla ait uygulama sonuçlarını gösteren </w:t>
      </w:r>
      <w:proofErr w:type="spellStart"/>
      <w:r w:rsidRPr="00B27BE3">
        <w:rPr>
          <w:color w:val="010000"/>
          <w:szCs w:val="27"/>
        </w:rPr>
        <w:t>kesinhesaplarını</w:t>
      </w:r>
      <w:proofErr w:type="spellEnd"/>
      <w:r w:rsidRPr="00B27BE3">
        <w:rPr>
          <w:color w:val="010000"/>
          <w:szCs w:val="27"/>
        </w:rPr>
        <w:t xml:space="preserve"> hazırlarlar. İller teşkilatından gönderilenler ve parti merkezine ait olan </w:t>
      </w:r>
      <w:proofErr w:type="spellStart"/>
      <w:r w:rsidRPr="00B27BE3">
        <w:rPr>
          <w:color w:val="010000"/>
          <w:szCs w:val="27"/>
        </w:rPr>
        <w:t>kesinhesaplar</w:t>
      </w:r>
      <w:proofErr w:type="spellEnd"/>
      <w:r w:rsidRPr="00B27BE3">
        <w:rPr>
          <w:color w:val="010000"/>
          <w:szCs w:val="27"/>
        </w:rPr>
        <w:t xml:space="preserve">, merkez karar ve yönetim kurulunca incelenerek karara bağlanır ve birleştirilir." denilmektedir. Yasa'nın 74. maddesi ise, 73. maddede kapsamı açıklanan "... karara bağlanarak birleştirilmiş bulunan </w:t>
      </w:r>
      <w:proofErr w:type="spellStart"/>
      <w:r w:rsidRPr="00B27BE3">
        <w:rPr>
          <w:color w:val="010000"/>
          <w:szCs w:val="27"/>
        </w:rPr>
        <w:t>kesinhesap</w:t>
      </w:r>
      <w:proofErr w:type="spellEnd"/>
      <w:r w:rsidRPr="00B27BE3">
        <w:rPr>
          <w:color w:val="010000"/>
          <w:szCs w:val="27"/>
        </w:rPr>
        <w:t xml:space="preserve"> ile parti merkez ve bağlı ilçeleri de kapsayan iller teşkilatının </w:t>
      </w:r>
      <w:proofErr w:type="spellStart"/>
      <w:r w:rsidRPr="00B27BE3">
        <w:rPr>
          <w:color w:val="010000"/>
          <w:szCs w:val="27"/>
        </w:rPr>
        <w:t>kesinhesaplarının</w:t>
      </w:r>
      <w:proofErr w:type="spellEnd"/>
      <w:r w:rsidRPr="00B27BE3">
        <w:rPr>
          <w:color w:val="010000"/>
          <w:szCs w:val="27"/>
        </w:rPr>
        <w:t xml:space="preserve"> onaylı birer örneğini </w:t>
      </w:r>
      <w:proofErr w:type="gramStart"/>
      <w:r w:rsidRPr="00B27BE3">
        <w:rPr>
          <w:color w:val="010000"/>
          <w:szCs w:val="27"/>
        </w:rPr>
        <w:t>Haziran</w:t>
      </w:r>
      <w:proofErr w:type="gramEnd"/>
      <w:r w:rsidRPr="00B27BE3">
        <w:rPr>
          <w:color w:val="010000"/>
          <w:szCs w:val="27"/>
        </w:rPr>
        <w:t xml:space="preserve"> ayı sonuna kadar Anayasa Mahkemesine ve bilgi için Cumhuriyet Başsavcılığına vermek zorundadırlar." kuralını içermektedir.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Yargıtay Cumhuriyet Başsavcılığı 1994 yılı </w:t>
      </w:r>
      <w:proofErr w:type="spellStart"/>
      <w:r w:rsidRPr="00B27BE3">
        <w:rPr>
          <w:color w:val="010000"/>
          <w:szCs w:val="27"/>
        </w:rPr>
        <w:t>kesinhesabını</w:t>
      </w:r>
      <w:proofErr w:type="spellEnd"/>
      <w:r w:rsidRPr="00B27BE3">
        <w:rPr>
          <w:color w:val="010000"/>
          <w:szCs w:val="27"/>
        </w:rPr>
        <w:t xml:space="preserve"> süresi içerisinde vermeyen Milliyetçi Hareket Partisi'ne 19.7.1995 gününde ihtar isteminde bulunmuştur.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lastRenderedPageBreak/>
        <w:t xml:space="preserve">Ancak, Milliyetçi Hareket Partisi 26.7.1995 gününde Anayasa Mahkemesi Başkanlığı'na 1994 yılı </w:t>
      </w:r>
      <w:proofErr w:type="spellStart"/>
      <w:r w:rsidRPr="00B27BE3">
        <w:rPr>
          <w:color w:val="010000"/>
          <w:szCs w:val="27"/>
        </w:rPr>
        <w:t>kesinhesaplarını</w:t>
      </w:r>
      <w:proofErr w:type="spellEnd"/>
      <w:r w:rsidRPr="00B27BE3">
        <w:rPr>
          <w:color w:val="010000"/>
          <w:szCs w:val="27"/>
        </w:rPr>
        <w:t xml:space="preserve"> vermiştir.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2820 sayılı Siyasî Partiler Kanunu'nun dördüncü kısmı dışında kalan durumlarda, aykırılıkların belli bir süre içerisinde giderilmesinin sağlanması amaçlanarak ihtar verilmesi yolu seçildiğinden, aykırılıkların giderilmesi durumunda adı geçen Yasa'nın 104. maddesine göre ihtar verilmesine gerek kalmayacaktır.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 xml:space="preserve">Milliyetçi Hareket Partisi 26.7.1995 gününde 1994 yılı </w:t>
      </w:r>
      <w:proofErr w:type="spellStart"/>
      <w:r w:rsidRPr="00B27BE3">
        <w:rPr>
          <w:color w:val="010000"/>
          <w:szCs w:val="27"/>
        </w:rPr>
        <w:t>kesinhesapları</w:t>
      </w:r>
      <w:proofErr w:type="spellEnd"/>
      <w:r w:rsidRPr="00B27BE3">
        <w:rPr>
          <w:color w:val="010000"/>
          <w:szCs w:val="27"/>
        </w:rPr>
        <w:t xml:space="preserve"> verildiğinden aykırılık giderilmiştir.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Bu durum karşısında Milliyetçi Hareket Partisi'ne 2820 sayılı Yasa'nın 104. maddesi uyarınca ihtar verilmesi istemi hakkında bir karar verilmesine gerek kalmamıştır.</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III- SONUÇ</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İhtar istemi hakkında bir karar verilmesine yer olmadığına,</w:t>
      </w:r>
    </w:p>
    <w:p w:rsidR="00B27BE3" w:rsidRPr="00B27BE3" w:rsidRDefault="00B27BE3" w:rsidP="00B27BE3">
      <w:pPr>
        <w:pStyle w:val="NormalWeb"/>
        <w:spacing w:before="0" w:beforeAutospacing="0" w:after="200" w:afterAutospacing="0"/>
        <w:ind w:left="283" w:right="283" w:firstLine="709"/>
        <w:jc w:val="both"/>
        <w:rPr>
          <w:color w:val="010000"/>
          <w:szCs w:val="27"/>
        </w:rPr>
      </w:pPr>
      <w:r w:rsidRPr="00B27BE3">
        <w:rPr>
          <w:color w:val="010000"/>
          <w:szCs w:val="27"/>
        </w:rPr>
        <w:t>17.10.1995 gününde OYBİRLİĞİYLE karar verildi.</w:t>
      </w:r>
    </w:p>
    <w:p w:rsidR="00B27BE3" w:rsidRDefault="00B27BE3">
      <w:bookmarkStart w:id="0" w:name="_GoBack"/>
      <w:bookmarkEnd w:id="0"/>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B27BE3" w:rsidRPr="00B27BE3" w:rsidTr="00B27BE3">
        <w:trPr>
          <w:gridAfter w:val="1"/>
          <w:wAfter w:w="50" w:type="pct"/>
          <w:tblCellSpacing w:w="0" w:type="dxa"/>
          <w:jc w:val="center"/>
        </w:trPr>
        <w:tc>
          <w:tcPr>
            <w:tcW w:w="1650" w:type="pct"/>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Başkan</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Yekta Güngör ÖZDEN</w:t>
            </w:r>
          </w:p>
        </w:tc>
        <w:tc>
          <w:tcPr>
            <w:tcW w:w="1650" w:type="pct"/>
            <w:gridSpan w:val="2"/>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Başkanvekili</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Güven DİNÇER</w:t>
            </w:r>
          </w:p>
        </w:tc>
        <w:tc>
          <w:tcPr>
            <w:tcW w:w="1650" w:type="pct"/>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Yılmaz ALİFENDİOĞLU</w:t>
            </w:r>
          </w:p>
        </w:tc>
      </w:tr>
      <w:tr w:rsidR="00B27BE3" w:rsidRPr="00B27BE3" w:rsidTr="00B27BE3">
        <w:trPr>
          <w:gridAfter w:val="1"/>
          <w:wAfter w:w="50" w:type="pct"/>
          <w:tblCellSpacing w:w="0" w:type="dxa"/>
          <w:jc w:val="center"/>
        </w:trPr>
        <w:tc>
          <w:tcPr>
            <w:tcW w:w="1650" w:type="pct"/>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Selçuk TÜZÜN</w:t>
            </w:r>
          </w:p>
        </w:tc>
        <w:tc>
          <w:tcPr>
            <w:tcW w:w="1650" w:type="pct"/>
            <w:gridSpan w:val="2"/>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Ahmet N. SEZER</w:t>
            </w:r>
          </w:p>
        </w:tc>
        <w:tc>
          <w:tcPr>
            <w:tcW w:w="1650" w:type="pct"/>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proofErr w:type="spellStart"/>
            <w:r w:rsidRPr="00B27BE3">
              <w:rPr>
                <w:color w:val="010000"/>
                <w:szCs w:val="27"/>
              </w:rPr>
              <w:t>Samia</w:t>
            </w:r>
            <w:proofErr w:type="spellEnd"/>
            <w:r w:rsidRPr="00B27BE3">
              <w:rPr>
                <w:color w:val="010000"/>
                <w:szCs w:val="27"/>
              </w:rPr>
              <w:t xml:space="preserve"> AKBULUT</w:t>
            </w:r>
          </w:p>
        </w:tc>
      </w:tr>
      <w:tr w:rsidR="00B27BE3" w:rsidRPr="00B27BE3" w:rsidTr="00B27BE3">
        <w:trPr>
          <w:gridAfter w:val="1"/>
          <w:wAfter w:w="50" w:type="pct"/>
          <w:tblCellSpacing w:w="0" w:type="dxa"/>
          <w:jc w:val="center"/>
        </w:trPr>
        <w:tc>
          <w:tcPr>
            <w:tcW w:w="1650" w:type="pct"/>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Haşim KILIÇ</w:t>
            </w:r>
          </w:p>
        </w:tc>
        <w:tc>
          <w:tcPr>
            <w:tcW w:w="1650" w:type="pct"/>
            <w:gridSpan w:val="2"/>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Mustafa BUMİN</w:t>
            </w:r>
          </w:p>
        </w:tc>
        <w:tc>
          <w:tcPr>
            <w:tcW w:w="1650" w:type="pct"/>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proofErr w:type="spellStart"/>
            <w:r w:rsidRPr="00B27BE3">
              <w:rPr>
                <w:color w:val="010000"/>
                <w:szCs w:val="27"/>
              </w:rPr>
              <w:t>Sacit</w:t>
            </w:r>
            <w:proofErr w:type="spellEnd"/>
            <w:r w:rsidRPr="00B27BE3">
              <w:rPr>
                <w:color w:val="010000"/>
                <w:szCs w:val="27"/>
              </w:rPr>
              <w:t xml:space="preserve"> ADALI</w:t>
            </w:r>
          </w:p>
        </w:tc>
      </w:tr>
      <w:tr w:rsidR="00B27BE3" w:rsidRPr="00B27BE3" w:rsidTr="00B27BE3">
        <w:trPr>
          <w:tblCellSpacing w:w="0" w:type="dxa"/>
          <w:jc w:val="center"/>
        </w:trPr>
        <w:tc>
          <w:tcPr>
            <w:tcW w:w="2500" w:type="pct"/>
            <w:gridSpan w:val="2"/>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Ali HÜNER</w:t>
            </w:r>
          </w:p>
        </w:tc>
        <w:tc>
          <w:tcPr>
            <w:tcW w:w="2500" w:type="pct"/>
            <w:gridSpan w:val="3"/>
            <w:hideMark/>
          </w:tcPr>
          <w:p w:rsidR="00B27BE3" w:rsidRPr="00B27BE3" w:rsidRDefault="00B27BE3" w:rsidP="00B27BE3">
            <w:pPr>
              <w:pStyle w:val="NormalWeb"/>
              <w:spacing w:before="0" w:beforeAutospacing="0" w:after="200" w:afterAutospacing="0"/>
              <w:jc w:val="center"/>
              <w:rPr>
                <w:color w:val="010000"/>
                <w:szCs w:val="27"/>
              </w:rPr>
            </w:pPr>
            <w:r w:rsidRPr="00B27BE3">
              <w:rPr>
                <w:color w:val="010000"/>
                <w:szCs w:val="27"/>
              </w:rPr>
              <w:t>Üye</w:t>
            </w:r>
          </w:p>
          <w:p w:rsidR="00B27BE3" w:rsidRPr="00B27BE3" w:rsidRDefault="00B27BE3" w:rsidP="00B27BE3">
            <w:pPr>
              <w:pStyle w:val="NormalWeb"/>
              <w:spacing w:before="0" w:beforeAutospacing="0" w:after="200" w:afterAutospacing="0"/>
              <w:jc w:val="center"/>
              <w:rPr>
                <w:color w:val="010000"/>
              </w:rPr>
            </w:pPr>
            <w:r w:rsidRPr="00B27BE3">
              <w:rPr>
                <w:color w:val="010000"/>
                <w:szCs w:val="27"/>
              </w:rPr>
              <w:t>Lütfi F. TUNCEL</w:t>
            </w:r>
          </w:p>
        </w:tc>
      </w:tr>
    </w:tbl>
    <w:p w:rsidR="00B27BE3" w:rsidRPr="00B27BE3" w:rsidRDefault="00B27BE3" w:rsidP="00B27BE3">
      <w:pPr>
        <w:spacing w:after="200"/>
        <w:ind w:left="283" w:right="283" w:firstLine="709"/>
        <w:jc w:val="both"/>
        <w:rPr>
          <w:rFonts w:eastAsia="Times New Roman"/>
          <w:color w:val="010000"/>
        </w:rPr>
      </w:pPr>
    </w:p>
    <w:sectPr w:rsidR="00B27BE3" w:rsidRPr="00B27BE3" w:rsidSect="00B27BE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65C" w:rsidRDefault="000F665C" w:rsidP="00B27BE3">
      <w:r>
        <w:separator/>
      </w:r>
    </w:p>
  </w:endnote>
  <w:endnote w:type="continuationSeparator" w:id="0">
    <w:p w:rsidR="000F665C" w:rsidRDefault="000F665C" w:rsidP="00B2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E3" w:rsidRDefault="00B27BE3"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27BE3" w:rsidRDefault="00B27BE3" w:rsidP="00B27BE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E3" w:rsidRPr="00B27BE3" w:rsidRDefault="00B27BE3" w:rsidP="0005405A">
    <w:pPr>
      <w:pStyle w:val="AltBilgi"/>
      <w:framePr w:wrap="around" w:vAnchor="text" w:hAnchor="margin" w:xAlign="right" w:y="1"/>
      <w:rPr>
        <w:rStyle w:val="SayfaNumaras"/>
      </w:rPr>
    </w:pPr>
    <w:r w:rsidRPr="00B27BE3">
      <w:rPr>
        <w:rStyle w:val="SayfaNumaras"/>
      </w:rPr>
      <w:fldChar w:fldCharType="begin"/>
    </w:r>
    <w:r w:rsidRPr="00B27BE3">
      <w:rPr>
        <w:rStyle w:val="SayfaNumaras"/>
      </w:rPr>
      <w:instrText xml:space="preserve"> PAGE </w:instrText>
    </w:r>
    <w:r w:rsidRPr="00B27BE3">
      <w:rPr>
        <w:rStyle w:val="SayfaNumaras"/>
      </w:rPr>
      <w:fldChar w:fldCharType="separate"/>
    </w:r>
    <w:r w:rsidRPr="00B27BE3">
      <w:rPr>
        <w:rStyle w:val="SayfaNumaras"/>
        <w:noProof/>
      </w:rPr>
      <w:t>1</w:t>
    </w:r>
    <w:r w:rsidRPr="00B27BE3">
      <w:rPr>
        <w:rStyle w:val="SayfaNumaras"/>
      </w:rPr>
      <w:fldChar w:fldCharType="end"/>
    </w:r>
  </w:p>
  <w:p w:rsidR="00B27BE3" w:rsidRDefault="00B27BE3" w:rsidP="00B27BE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65C" w:rsidRDefault="000F665C" w:rsidP="00B27BE3">
      <w:r>
        <w:separator/>
      </w:r>
    </w:p>
  </w:footnote>
  <w:footnote w:type="continuationSeparator" w:id="0">
    <w:p w:rsidR="000F665C" w:rsidRDefault="000F665C" w:rsidP="00B2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E3" w:rsidRPr="00B27BE3" w:rsidRDefault="00B27BE3" w:rsidP="00B27BE3">
    <w:pPr>
      <w:pStyle w:val="stBilgi"/>
      <w:rPr>
        <w:b/>
      </w:rPr>
    </w:pPr>
    <w:r w:rsidRPr="00B27BE3">
      <w:rPr>
        <w:b/>
      </w:rPr>
      <w:t>Esas Sayısı:1995/2 (Siyasî Parti-İhtar)</w:t>
    </w:r>
  </w:p>
  <w:p w:rsidR="00B27BE3" w:rsidRDefault="00B27BE3" w:rsidP="00B27BE3">
    <w:pPr>
      <w:pStyle w:val="stBilgi"/>
      <w:rPr>
        <w:b/>
      </w:rPr>
    </w:pPr>
    <w:r>
      <w:rPr>
        <w:b/>
      </w:rPr>
      <w:t>Karar Sayısı:1995/2</w:t>
    </w:r>
  </w:p>
  <w:p w:rsidR="00B27BE3" w:rsidRPr="00B27BE3" w:rsidRDefault="00B27BE3" w:rsidP="00B27BE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E3"/>
    <w:rsid w:val="000F665C"/>
    <w:rsid w:val="00B27BE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CE1DA-31DA-470B-824B-813123D2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E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27BE3"/>
    <w:pPr>
      <w:spacing w:before="100" w:beforeAutospacing="1" w:after="100" w:afterAutospacing="1"/>
    </w:pPr>
  </w:style>
  <w:style w:type="paragraph" w:styleId="stBilgi">
    <w:name w:val="header"/>
    <w:basedOn w:val="Normal"/>
    <w:link w:val="stBilgiChar"/>
    <w:uiPriority w:val="99"/>
    <w:unhideWhenUsed/>
    <w:rsid w:val="00B27BE3"/>
    <w:pPr>
      <w:tabs>
        <w:tab w:val="center" w:pos="4536"/>
        <w:tab w:val="right" w:pos="9072"/>
      </w:tabs>
    </w:pPr>
  </w:style>
  <w:style w:type="character" w:customStyle="1" w:styleId="stBilgiChar">
    <w:name w:val="Üst Bilgi Char"/>
    <w:basedOn w:val="VarsaylanParagrafYazTipi"/>
    <w:link w:val="stBilgi"/>
    <w:uiPriority w:val="99"/>
    <w:rsid w:val="00B27BE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27BE3"/>
    <w:pPr>
      <w:tabs>
        <w:tab w:val="center" w:pos="4536"/>
        <w:tab w:val="right" w:pos="9072"/>
      </w:tabs>
    </w:pPr>
  </w:style>
  <w:style w:type="character" w:customStyle="1" w:styleId="AltBilgiChar">
    <w:name w:val="Alt Bilgi Char"/>
    <w:basedOn w:val="VarsaylanParagrafYazTipi"/>
    <w:link w:val="AltBilgi"/>
    <w:uiPriority w:val="99"/>
    <w:rsid w:val="00B27BE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2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2020-06-13T11:54:00Z</dcterms:created>
  <dcterms:modified xsi:type="dcterms:W3CDTF">2020-06-13T11:55:00Z</dcterms:modified>
</cp:coreProperties>
</file>